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苏州市政府采购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磋商项目采购文件</w:t>
      </w:r>
      <w:r/>
    </w:p>
    <w:p>
      <w:pPr>
        <w:ind w:left="2386" w:right="0" w:hanging="15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 </w:t>
      </w:r>
      <w:r/>
    </w:p>
    <w:p>
      <w:pPr>
        <w:ind w:left="2386" w:right="0" w:hanging="15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采购编号：JSZC-320506-SXYZ-C2025-0004</w:t>
      </w:r>
      <w:r/>
    </w:p>
    <w:p>
      <w:pPr>
        <w:ind w:left="2386" w:right="0" w:hanging="1546"/>
        <w:spacing w:before="0" w:after="0" w:line="85" w:lineRule="atLeast"/>
        <w:tabs>
          <w:tab w:val="left" w:pos="17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采购内容：2025年安置小区零星维修工程（藏书片区）</w:t>
      </w:r>
      <w:r/>
    </w:p>
    <w:p>
      <w:pPr>
        <w:ind w:left="2386" w:right="0" w:hanging="1546"/>
        <w:spacing w:before="0" w:after="0" w:line="85" w:lineRule="atLeast"/>
        <w:tabs>
          <w:tab w:val="left" w:pos="17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 购 人：苏州市吴中区木渎镇人民政府（苏州市吴中区木渎镇建设管理办公室）</w:t>
      </w:r>
      <w:r/>
    </w:p>
    <w:p>
      <w:pPr>
        <w:ind w:left="2386" w:right="0" w:hanging="1546"/>
        <w:spacing w:before="0" w:after="0" w:line="85" w:lineRule="atLeast"/>
        <w:tabs>
          <w:tab w:val="left" w:pos="17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采购代理：苏州顺心源招投标咨询服务有限公司</w:t>
      </w:r>
      <w:r/>
    </w:p>
    <w:p>
      <w:pPr>
        <w:ind w:left="2386" w:right="0" w:hanging="1546"/>
        <w:spacing w:before="0" w:after="0" w:line="85" w:lineRule="atLeast"/>
        <w:tabs>
          <w:tab w:val="left" w:pos="17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采购类别：工程类</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457325" cy="15430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673613" name=""/>
                        <pic:cNvPicPr>
                          <a:picLocks noChangeAspect="1"/>
                        </pic:cNvPicPr>
                        <pic:nvPr/>
                      </pic:nvPicPr>
                      <pic:blipFill>
                        <a:blip/>
                        <a:stretch/>
                      </pic:blipFill>
                      <pic:spPr bwMode="auto">
                        <a:xfrm>
                          <a:off x="0" y="0"/>
                          <a:ext cx="1457325" cy="15430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4.8pt;height:121.5pt;mso-wrap-distance-left:0.0pt;mso-wrap-distance-top:0.0pt;mso-wrap-distance-right:0.0pt;mso-wrap-distance-bottom:0.0pt;" stroked="false">
                <v:path textboxrect="0,0,0,0"/>
              </v:shape>
            </w:pict>
          </mc:Fallback>
        </mc:AlternateContent>
      </w:r>
      <w:r>
        <w:rPr>
          <w:rFonts w:ascii="SimSun" w:hAnsi="SimSun" w:eastAsia="SimSun" w:cs="SimSun"/>
          <w:b/>
          <w:color w:val="000000"/>
          <w:spacing w:val="-6"/>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二〇二五年十二月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前附表</w:t>
      </w:r>
      <w:r/>
    </w:p>
    <w:tbl>
      <w:tblPr>
        <w:tblStyle w:val="6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4"/>
        <w:gridCol w:w="1736"/>
        <w:gridCol w:w="6954"/>
      </w:tblGrid>
      <w:tr>
        <w:trPr>
          <w:trHeight w:val="1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               容</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JSZC-320506-SXYZ-C2025-0004</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2025年安置小区零星维修工程（藏书片区）</w:t>
            </w:r>
            <w:r/>
          </w:p>
        </w:tc>
      </w:tr>
      <w:tr>
        <w:trPr>
          <w:trHeight w:val="1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tabs>
                <w:tab w:val="left" w:pos="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名称及地址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名称：苏州顺心源招投标咨询服务有限公司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地址：苏州市吴中区木渎镇翠坊南街蓝湾文旅街区13号楼102室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联系人：赵晓燕、林玉琼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联系电话：0512-65980060</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名称：苏州市吴中区木渎镇人民政府（苏州市吴中区木渎镇建设管理办公室）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地址：木渎镇金山南路8号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联系人：张美华</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联系电话：18962113588</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详见采购文件第二章</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本项目不收取磋商保证金</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响应文件提交截止之日起45天（日历日）</w:t>
            </w:r>
            <w:r/>
          </w:p>
        </w:tc>
      </w:tr>
      <w:tr>
        <w:trPr>
          <w:trHeight w:val="1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获取采购文件</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自公告发布之日起5个工作日</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响应文件网上</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2026年1月4日13点30分（北京时间）</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响应文件必须在截止时间前完成提交（上传），逾期提交（上传）的响应文件恕不接受。</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开启时间</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开启地点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2026年1月4日13点30分（北京时间）</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“苏采云”系统（网址：</w:t>
            </w:r>
            <w:hyperlink r:id="rId10" w:tooltip="http://jszfcg.jsczt.cn/" w:history="1">
              <w:r>
                <w:rPr>
                  <w:rStyle w:val="762"/>
                  <w:rFonts w:ascii="SimSun" w:hAnsi="SimSun" w:eastAsia="SimSun" w:cs="SimSun"/>
                  <w:color w:val="0000ee"/>
                  <w:sz w:val="21"/>
                  <w:u w:val="none"/>
                </w:rPr>
                <w:t xml:space="preserve">http://jszfcg.jsczt.cn/</w:t>
              </w:r>
            </w:hyperlink>
            <w:r>
              <w:rPr>
                <w:rFonts w:ascii="SimSun" w:hAnsi="SimSun" w:eastAsia="SimSun" w:cs="SimSun"/>
                <w:color w:val="000000"/>
                <w:sz w:val="21"/>
              </w:rPr>
              <w:t xml:space="preserve">）</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1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评审时间</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2026年1月4日13点30分（北京时间）</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苏州市市辖区【狮山科技馆】817公开评标室（分散采购8人）</w:t>
            </w:r>
            <w:r/>
          </w:p>
        </w:tc>
      </w:tr>
      <w:tr>
        <w:trPr>
          <w:trHeight w:val="3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本项目采用电子响应文件，供应商按照采购文件要求制作上传电子响应文件，投标时供应商无需提供纸质响应文件。</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成交后5个工作日内，成交单位向招标代理机构提供与电子响应文件内容一致的纸质响应文件两份。</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报价本位币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按合同约定，未做说明的则为无。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成交通知书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确定出成交单位后，采购代理机构在法定时间内向成交单位发出成交通知书。成交通知书将成为合同的组成部分。</w:t>
            </w:r>
            <w:r/>
          </w:p>
          <w:p>
            <w:pPr>
              <w:ind w:left="0" w:right="0" w:firstLine="0"/>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请成交单位在成交结果公告届满之日起30日内,使用CA证书登录“苏采云”系统及时下载成交通知书。</w:t>
            </w:r>
            <w:r/>
          </w:p>
        </w:tc>
      </w:tr>
    </w:tbl>
    <w:p>
      <w:pPr>
        <w:ind w:left="0" w:right="0" w:firstLine="0"/>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目录</w:t>
      </w:r>
      <w:r/>
    </w:p>
    <w:p>
      <w:pPr>
        <w:ind w:left="0" w:right="0" w:firstLine="720"/>
        <w:jc w:val="both"/>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both"/>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一、磋商公告</w:t>
      </w:r>
      <w:r/>
    </w:p>
    <w:p>
      <w:pPr>
        <w:ind w:left="0" w:right="0" w:firstLine="720"/>
        <w:jc w:val="both"/>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二、采购需求</w:t>
      </w:r>
      <w:r/>
    </w:p>
    <w:p>
      <w:pPr>
        <w:ind w:left="0" w:right="0" w:firstLine="720"/>
        <w:jc w:val="both"/>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三、评标方法及评分标准</w:t>
      </w:r>
      <w:r/>
    </w:p>
    <w:p>
      <w:pPr>
        <w:ind w:left="0" w:right="0" w:firstLine="720"/>
        <w:jc w:val="both"/>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四、合同主要条款及格式</w:t>
      </w:r>
      <w:r/>
    </w:p>
    <w:p>
      <w:pPr>
        <w:ind w:left="0" w:right="0" w:firstLine="720"/>
        <w:jc w:val="both"/>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五、磋商响应文件格式</w:t>
      </w:r>
      <w:r/>
    </w:p>
    <w:p>
      <w:pPr>
        <w:ind w:left="0" w:right="0" w:firstLine="0"/>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一、磋商公告</w:t>
      </w:r>
      <w:r/>
    </w:p>
    <w:p>
      <w:pPr>
        <w:ind w:left="0" w:right="0" w:firstLine="42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项目概况</w:t>
      </w:r>
      <w:r/>
    </w:p>
    <w:p>
      <w:pPr>
        <w:ind w:left="0" w:right="0" w:firstLine="42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u w:val="single"/>
        </w:rPr>
        <w:t xml:space="preserve">2025年安置小区零星维修工程（藏书片区）</w:t>
      </w:r>
      <w:r>
        <w:rPr>
          <w:rFonts w:ascii="SimSun" w:hAnsi="SimSun" w:eastAsia="SimSun" w:cs="SimSun"/>
          <w:color w:val="000000"/>
          <w:sz w:val="21"/>
        </w:rPr>
        <w:t xml:space="preserve">采购项目的潜在供应商应在</w:t>
      </w:r>
      <w:r>
        <w:rPr>
          <w:rFonts w:ascii="SimSun" w:hAnsi="SimSun" w:eastAsia="SimSun" w:cs="SimSun"/>
          <w:color w:val="000000"/>
          <w:sz w:val="21"/>
          <w:u w:val="single"/>
        </w:rPr>
        <w:t xml:space="preserve">苏采云系统</w:t>
      </w:r>
      <w:r>
        <w:rPr>
          <w:rFonts w:ascii="SimSun" w:hAnsi="SimSun" w:eastAsia="SimSun" w:cs="SimSun"/>
          <w:color w:val="000000"/>
          <w:sz w:val="21"/>
        </w:rPr>
        <w:t xml:space="preserve">获取采购文件，并于</w:t>
      </w:r>
      <w:r>
        <w:rPr>
          <w:rFonts w:ascii="SimSun" w:hAnsi="SimSun" w:eastAsia="SimSun" w:cs="SimSun"/>
          <w:color w:val="000000"/>
          <w:sz w:val="21"/>
          <w:u w:val="single"/>
        </w:rPr>
        <w:t xml:space="preserve">2026年1月4日13点30分</w:t>
      </w:r>
      <w:r>
        <w:rPr>
          <w:rFonts w:ascii="SimSun" w:hAnsi="SimSun" w:eastAsia="SimSun" w:cs="SimSun"/>
          <w:color w:val="000000"/>
          <w:sz w:val="21"/>
        </w:rPr>
        <w:t xml:space="preserve">（北京时间）前提交响应文件。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项目编号：JSZC-320506-SXYZ-C2025-0004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项目名称：2025年安置小区零星维修工程（藏书片区）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采购方式：竞争性磋商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预算金额：人民币叁佰肆拾万圆整（小写：￥3400000.00）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最高限价：人民币贰佰柒拾贰万叁仟玖佰伍拾贰圆壹角玖分（小写：￥2723952.19）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.2025年安置小区零星维修工程（藏书片区）项目 （详见技术要求及工程量清单、图纸等）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2.施工质量应符合现行国家技术、施工及验收规范规程，对施工工艺的特殊要求，按国家有关规定执行。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3.验收标准：满足采购要求。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4.合同履行期限：</w:t>
      </w:r>
      <w:r>
        <w:rPr>
          <w:rFonts w:ascii="SimSun" w:hAnsi="SimSun" w:eastAsia="SimSun" w:cs="SimSun"/>
          <w:color w:val="000000"/>
          <w:sz w:val="21"/>
          <w:u w:val="none"/>
        </w:rPr>
        <w:t xml:space="preserve">工期要求300日历天（本项目具体开工日期以采购人通知为准）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5.承包方式：包工包料。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6.工程质量要求：合格。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2、落实政府采购政策需满足的资格要求：根据《政府采购促进中小企业发展管理办法》的相关规定，</w:t>
      </w:r>
      <w:r>
        <w:rPr>
          <w:rFonts w:ascii="SimSun" w:hAnsi="SimSun" w:eastAsia="SimSun" w:cs="SimSun"/>
          <w:b/>
          <w:color w:val="000000"/>
          <w:sz w:val="21"/>
        </w:rPr>
        <w:t xml:space="preserve">本项目专门面向中小企业采购（响应单位必须为中小微企业或残疾人福利性单位或监狱企业，并在响应文件中提供相关声明函或监狱企业证明文件，否则为无效投标），所属行业为</w:t>
      </w:r>
      <w:r>
        <w:rPr>
          <w:rFonts w:ascii="SimSun" w:hAnsi="SimSun" w:eastAsia="SimSun" w:cs="SimSun"/>
          <w:b/>
          <w:color w:val="000000"/>
          <w:sz w:val="21"/>
          <w:u w:val="single"/>
        </w:rPr>
        <w:t xml:space="preserve">建筑业。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（1）未被列入失信被执行人、重大税收违法案件当事人名单、政府采购严重失信行为记录名单；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（2）本项目不接受联合体投标；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（4）其他特定资格要求：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1）具备建筑工程施工总承包叁级及以上资质。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2）具备安全生产条件，并取得有效期内的安全生产许可证。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3）拟选派项目经理具有建筑工程专业二级(含以上级)注册建造师并具备项目经理安全生产考核合格证（B类），且无在建工程项目。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项目经理必须满足下列条件：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①项目经理不得同时在两个或者两个以上单位受聘或者执业：A、同时在两个及以上单位签订劳动合同或交纳社会保险；B、将本人执（职）业资格证书同时注册在两个及以上单位。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③项目经理无行贿犯罪行为记录；或者有行贿犯罪行为记录，但自记录之日起已超过5年的。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三、获取采购文件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u w:val="none"/>
        </w:rPr>
        <w:t xml:space="preserve">1.时间：自公告发布之日起5个工作日(具体见政府采购网本项目招标公告）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2.地点：苏采云系统自行下载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（1）CA证书办理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ascii="SimSun" w:hAnsi="SimSun" w:eastAsia="SimSun" w:cs="SimSun"/>
          <w:b/>
          <w:color w:val="000000"/>
          <w:sz w:val="21"/>
          <w:highlight w:val="white"/>
        </w:rPr>
        <w:t xml:space="preserve">“苏采云”系统目前仅支持“苏采云”系统下的政务CA证书，江苏省内各地区办理的“苏采云”系统下的政务CA证书全省通用。</w:t>
      </w:r>
      <w:r>
        <w:rPr>
          <w:rFonts w:ascii="SimSun" w:hAnsi="SimSun" w:eastAsia="SimSun" w:cs="SimSun"/>
          <w:color w:val="000000"/>
          <w:sz w:val="21"/>
          <w:highlight w:val="white"/>
        </w:rPr>
        <w:t xml:space="preserve">苏州现场办理地址：苏州市姑苏区平泷路251号政务服务中心4楼公共交易中心窗口，咨询电话：0512-69820834。</w:t>
      </w:r>
      <w:r>
        <w:rPr>
          <w:rFonts w:ascii="SimSun" w:hAnsi="SimSun" w:eastAsia="SimSun" w:cs="SimSun"/>
          <w:b/>
          <w:color w:val="000000"/>
          <w:sz w:val="21"/>
          <w:highlight w:val="white"/>
        </w:rPr>
        <w:t xml:space="preserve">（自2025年12月1日起，现场办理地址调整为：苏州高新区邓尉路105号狮山科技馆1楼服务大厅）。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（2）参与采购活动</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（3）电子投标准备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供应商在“苏采云”系统中操作参与项目后，必须在“已参与项目”界面中下载电子采购文件（后缀名为“.kedt”）并导入政府采购客户端工具后方可进行响应文件制作和提交</w:t>
      </w:r>
      <w:r>
        <w:rPr>
          <w:rFonts w:ascii="SimSun" w:hAnsi="SimSun" w:eastAsia="SimSun" w:cs="SimSun"/>
          <w:b/>
          <w:color w:val="000000"/>
          <w:sz w:val="21"/>
          <w:highlight w:val="white"/>
        </w:rPr>
        <w:t xml:space="preserve">（具体详见《苏采云系统供应商操作手册》，网址链接https://czju.suzhou.gov.cn/zfcg/html/content/20231220161910031.shtml）</w:t>
      </w:r>
      <w:r>
        <w:rPr>
          <w:rFonts w:ascii="SimSun" w:hAnsi="SimSun" w:eastAsia="SimSun" w:cs="SimSun"/>
          <w:color w:val="000000"/>
          <w:sz w:val="21"/>
          <w:highlight w:val="white"/>
        </w:rPr>
        <w:t xml:space="preserve">。在系统操作过程中如有疑问，请按以下方式联系：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注册咨询：18261002950；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CA技术咨询电话：400-608-6099；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签章使用问题：025-83633811、025-83633812、15380932027、15371015030；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系统使用指导与咨询：联系电话：18261002950；QQ：3048755361、1315179389、895706745。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4.售价：免费。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1.递交响应文件截止时间：2026年1月4日13点30分（北京时间）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2.地点：“苏采云”系统（网址：http://jszfcg.jsczt.cn/）。响应文件网上递交，不需要现场参加采购活动。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ascii="SimSun" w:hAnsi="SimSun" w:eastAsia="SimSun" w:cs="SimSun"/>
          <w:b/>
          <w:color w:val="000000"/>
          <w:sz w:val="21"/>
        </w:rPr>
        <w:t xml:space="preserve">供应商应充分考虑到网络环境、网络带宽等风险因素，如因供应商自身原因造成的电子响应文件上传不成功由供应商自行承担全部责任。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1.时间：2026年1月 4 日13点30分（北京时间）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2.地点：“苏采云”系统（网址：http://jszfcg.jsczt.cn/）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3.线上参加开标（开启）会方式：供应商登录“苏采云”系统在平台首页点击“开标大厅”，进入江苏省政府采购一体化不见面开标（采购）大厅，在今日项目列表，点击项目，进入不见面开标系统。</w:t>
      </w:r>
      <w:r>
        <w:rPr>
          <w:rFonts w:ascii="SimSun" w:hAnsi="SimSun" w:eastAsia="SimSun" w:cs="SimSun"/>
          <w:b/>
          <w:color w:val="000000"/>
          <w:sz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请供应商确保电脑、系统及其他设备（视频输入输出设备等）无误，且开启直至项目结束始终保持系统在线状态。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1.本次采购的相关信息刊登在苏州政府采购网、江苏政府采购网。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2.苏州市财政局政府采购监管处电话：0512-68616651。</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八、凡对本次采购提出询问，请按以下方式联系。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称：苏州市吴中区木渎镇人民政府（苏州市吴中区木渎镇建设管理办公室）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址：木渎镇金山南路8号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 系 人：张美华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联系电话：18962113588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名称：苏州顺心源招投标咨询服务有限公司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地址：苏州市吴中区木渎镇翠坊南街蓝湾文旅街区13号楼102室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 系 人：赵晓燕、林玉琼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电话：0512-65980060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项目联系人：赵晓燕、林玉琼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话：0512-65980060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苏州市吴中区木渎镇人民政府（苏州市吴中区木渎镇建设管理办公室）之委托，苏州顺心源招投标咨询服务有限公司对其需采购的2025年安置小区零星维修工程（藏书片区）在国内组织竞争性磋商采购。欢迎符合资格条件的供应商前来报名参加磋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一、采购编号：</w:t>
      </w:r>
      <w:r>
        <w:rPr>
          <w:rFonts w:ascii="SimSun" w:hAnsi="SimSun" w:eastAsia="SimSun" w:cs="SimSun"/>
          <w:color w:val="000000"/>
          <w:sz w:val="21"/>
        </w:rPr>
        <w:t xml:space="preserve">JSZC-320506-SXYZ-C2025-0004</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二、项目名称：</w:t>
      </w:r>
      <w:r>
        <w:rPr>
          <w:rFonts w:ascii="SimSun" w:hAnsi="SimSun" w:eastAsia="SimSun" w:cs="SimSun"/>
          <w:color w:val="000000"/>
          <w:sz w:val="21"/>
        </w:rPr>
        <w:t xml:space="preserve">2025年安置小区零星维修工程（藏书片区）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★三、采购项目预算：</w:t>
      </w:r>
      <w:r>
        <w:rPr>
          <w:rFonts w:ascii="SimSun" w:hAnsi="SimSun" w:eastAsia="SimSun" w:cs="SimSun"/>
          <w:color w:val="000000"/>
          <w:sz w:val="21"/>
        </w:rPr>
        <w:t xml:space="preserve">人民币叁佰肆拾万圆整（小写：￥3400000.00）</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最高限价：</w:t>
      </w:r>
      <w:r>
        <w:rPr>
          <w:rFonts w:ascii="SimSun" w:hAnsi="SimSun" w:eastAsia="SimSun" w:cs="SimSun"/>
          <w:color w:val="000000"/>
          <w:sz w:val="21"/>
        </w:rPr>
        <w:t xml:space="preserve">人民币贰佰柒拾贰万叁仟玖佰伍拾贰圆壹角玖分（小写：￥2723952.19）</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★四、采购需求：（本文件中★标示内容为实质性要求）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1.工程概况：2025年安置小区零星维修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2.工程招标范围：主要工程内容包括土建修缮、安装等，详见施工图设计范围，具体详见工程量清单。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3、现场条件：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3.1施工现场情况：以现场踏勘情况为准；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3.2交通运输情况：以现场踏勘情况为准；</w:t>
        <w:tab/>
        <w:tab/>
        <w:tab/>
        <w:tab/>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3.3施工用电：由承包方自行解决，相关费用投标报价时综合考虑。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4、项目地点： 木渎镇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5、合同履行期限：工期要求300日历天，具体开工日期以采购人通知为准。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6、承包方式：包工包料。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7、工程质量要求：合格。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8、技术要求：施工质量应符合现行国家技术、施工及验收规范规程，对施工工艺的特殊要求，按设计图纸（如有）及国家有关规定执行。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8.1基本要求：严格按照设计图纸施工，材料需符合要求；确保钢结构与连接构件的安全性，保证防水层不漏水、不渗水；水流通畅。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所有施工材料质量及施工质量必须严格按照国家规范及江苏省、苏州市相应地方规范、磋商文件要求、材料厂家的技术规范的有关要求执行。如果在合同履行过程中有新的国家或行业（部）规范和标准出台的，则供方应确保该合同产品达到并符合新的国家或行业（部）规范和标准。因此而增加的费用及风险已经包含在合同总价中。</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8.3成交供应商应对安装施工质量全面负责，如因成交单位原因造成质量事故、成交单位承担一切经济法律责任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8.4成交供应商必须建立健全质量检查制度，严格工序管理，隐蔽工程在隐蔽前应通知采购人检查验收；本着谁施工谁负责产品保护，谁破坏产品谁负责赔偿的原则，成交供应商必须采取切实有效的产品保护措施。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8.5工程质量标准必须符合现行国家有关工程施工质量验收规范和标准的要求。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9、质保期：详见合同条款。</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10、验收标准：按照采购文件及相关工程施工质量验收规范标准执行。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11、服务响应时间要求：供应商有售后服务，接到采购人报修通知后4小时内响应并到现场，并在采购人要求的维修时间内完成维修，供应商应在响应文件中承诺维修响应时间。</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注：本项目图纸（如有）、清单资料等内容请在百度网盘下载：</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链接：https://pan.baidu.com/s/1WfyHrv-vlNhBiZik_TOnTA?pwd=yh8a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提取码：yh8a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五、综合说明及其他要求</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1、响应人必须承诺磋商文件中提出的全部技术规格与要求，如有其中某些条款不响应时，应在文件中逐条列出，未列出的视同响应。</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2、响应人应合理准备项目安装需要的所有配件、辅材。相关配件辅材均应符合国标要求或相应质量标准要求，并确保安装到位。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3、报价要求：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3.1计价方式：本工程项目采用下列第</w:t>
      </w:r>
      <w:r>
        <w:rPr>
          <w:rFonts w:ascii="SimSun" w:hAnsi="SimSun" w:eastAsia="SimSun" w:cs="SimSun"/>
          <w:color w:val="000000"/>
          <w:sz w:val="21"/>
          <w:u w:val="single"/>
        </w:rPr>
        <w:t xml:space="preserve">  （1）  </w:t>
      </w:r>
      <w:r>
        <w:rPr>
          <w:rFonts w:ascii="SimSun" w:hAnsi="SimSun" w:eastAsia="SimSun" w:cs="SimSun"/>
          <w:color w:val="000000"/>
          <w:sz w:val="21"/>
        </w:rPr>
        <w:t xml:space="preserve">种计价方式。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（1）工程量清单计价方式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（2）计价表计价方式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3.2报价方式：本工程项目采用下列第</w:t>
      </w:r>
      <w:r>
        <w:rPr>
          <w:rFonts w:ascii="SimSun" w:hAnsi="SimSun" w:eastAsia="SimSun" w:cs="SimSun"/>
          <w:color w:val="000000"/>
          <w:sz w:val="21"/>
          <w:u w:val="single"/>
        </w:rPr>
        <w:t xml:space="preserve">  （2）  </w:t>
      </w:r>
      <w:r>
        <w:rPr>
          <w:rFonts w:ascii="SimSun" w:hAnsi="SimSun" w:eastAsia="SimSun" w:cs="SimSun"/>
          <w:color w:val="000000"/>
          <w:sz w:val="21"/>
        </w:rPr>
        <w:t xml:space="preserve">种报价方式。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（1）固定总价报价。竞争报价人应充分考虑施工期间各类建材市场价格变化，政策性调整的风险，一旦经评审确定承包人，报价不作调整。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w:t>
      </w:r>
      <w:r>
        <w:rPr>
          <w:rFonts w:ascii="SimSun" w:hAnsi="SimSun" w:eastAsia="SimSun" w:cs="SimSun"/>
          <w:color w:val="000000"/>
          <w:spacing w:val="-6"/>
          <w:sz w:val="21"/>
        </w:rPr>
        <w:t xml:space="preserve">磋商供应商报价时，必须按统一的工程量清单报价。成交后，本工程中工程量清单项目的综合单价按标底单价下浮之后的综合单价执行【成交下浮率计算公式：(预算价-成交价)/[预算价-暂列金额×(1＋规费费率)×(1＋税率)- 专业工程暂估价×(1＋规费费率)×(1＋税率)-材料暂估价包括甲供材料费×(1＋安全文明施工措施费率)×(1＋规费费率)×(1＋税率)]】， 由于工程量清单的工程数量有误或者设计变更、现场签证等引起的工程量增减，若工程量清单项目工程量的变化幅度超过10%，并且影响分部分项工程费超过0.1%的，综合</w:t>
      </w:r>
      <w:r>
        <w:rPr>
          <w:rFonts w:ascii="SimSun" w:hAnsi="SimSun" w:eastAsia="SimSun" w:cs="SimSun"/>
          <w:color w:val="000000"/>
          <w:spacing w:val="-6"/>
          <w:sz w:val="21"/>
        </w:rPr>
        <w:t xml:space="preserve">单价可调整</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预算价-成交价)/[预算价-暂列金额×(1＋规费费率)×(1＋税率)- 专业工程暂估价×(1＋规费费率)×(1＋税率)-材料暂估价包括甲供材料费×(1＋安全文明施工措施费率)×(1＋规费费率)×(1＋税率)]。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w:t>
      </w:r>
      <w:r>
        <w:rPr>
          <w:rFonts w:ascii="SimSun" w:hAnsi="SimSun" w:eastAsia="SimSun" w:cs="SimSun"/>
          <w:color w:val="000000"/>
          <w:spacing w:val="-6"/>
          <w:sz w:val="21"/>
        </w:rPr>
        <w:t xml:space="preserve">本工程在采购文件中已明确的各项施工措施费，均包含在合同总价中。其他在采购文件和答疑中未提及、未明确部分的施工措施费项目，采购单位不另外支付</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在政府采购合同履行中，按照《苏州市市级政府投资建筑工程变更备案管理实施细则》（苏住建规{2018}1号）执行变更程序。由于设计变更或其他原因确需调整合同金额的，经财政局批准同意后，根据追加的采购计划签订补充合同，但全部补充合同的采购金额不得超过原合同金额的10%，超过部分不予安排财政资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磋商报价时，不可竞争费用均按规定计算，不得让利或随意调整计算标准，否则报价无效。规费费率详见工程量清单。江苏省安全文明施工措施费应放在措施项目清单中（仅计取基本费和扬尘污染防治增加费）。磋商单位不得将不可竞争费用降低标准收取，不可竞争费费率详见工程量清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4.1计价格式中列明的所有需要填报的单价和合价，响应人均需填报，未填报的单价和合价，视为此项费用已包含在工程量清单的其他单价和合价中。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本工程所有提供参考品牌及规格型号的主要材料（如有），磋商单位可以直接选用或采用同档次产品进行报价，施工中如采购单位发现磋商单位采用的品牌低于参考品牌的档次，则采购单位有权将该部分材料品牌按参考品牌规格型号进行调整，中标（成交）单位必须按调整后的品牌规格型号进行施工，且中标（成交）价格不予调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六、响应文件的组成及要求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（一）文件组成（部分格式见附件）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1、封面</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2、开标一览表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3、磋商报价分析表（已标价工程量清单）</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4、资格审查响应文件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4.1合格供应商的基本条件：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4.1.1具有独立承担民事责任的能力。提供包括法人或者其他组织的营业执照等证明文件，自然人的身份证明；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具有良好的商业信誉和健全的财务会计制度。提供2024年度经审计的财务报告；其他组织、自然人及成立未满一年的法人提供基本开户银行出具的资信证明；4.1.3具有履行合同所必需的设备和专业技术能力。提供证明材料或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4.1.4有依法缴纳税收和社会保障资金的良好记录。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4.1.5参加政府采购活动前三年内，在经营活动中没有重大违法记录。提供书面声明函；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4.1.6法律、行政法规规定的其他条件。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4.2本项目的特定资格要求：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4.2.1具备建筑工程施工总承包叁级及以上资质。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4.2.2具备安全生产条件，并取得有效期内的安全生产许可证。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4.2.3拟选派项目经理具有建筑工程专业二级(含以上级)注册建造师并具备项目经理安全生产考核合格证（B类），且无在建工程项目。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4.2.4项目经理无在建工程承诺书。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4.3落实政府采购政策需满足的资格要求：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声明函》或《残疾人福利性单位声明函》或省级以上监狱管理局、戒毒管理局（含新疆生产建设兵团）出具的属于监狱企业的证明文件（本项目专门面向中小企业采购。响应单位必须为中小微企业或残疾人福利性单位或监狱企业，并在响应文件中提供相关声明函或监狱企业证明文件，否则为无效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4.4其它有关资格证明的文件（如有）；</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5、符合性审查响应文件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5.1磋商响应函；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5.2技术及服务偏离表；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5.3商务条款偏离表；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5.4关于资格文件的声明函；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5.5磋商响应单位法定代表人身份证复印件；法人授权委托书和磋商响应单位授权代理人身份证复印件（如有授权）；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5.6投标（响应）保证承诺书；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5.7其他有关符合性证明的文件；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5.8磋商响应单位基本情况表；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5.9工程量清单内的产品在《节能产品政府采购清单》和《环境标志产品政府采购清单》中的须提供清单汇总（格式自拟）及对响应产品的认证证书（如有）；</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6、综合评审响应文件（具体模块以系统生成为准）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6.1技术方案及施工组织设计；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6.2针对本项目的人员配置表；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类似项目业绩一览表；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采购需求及评分标准中所涉及到的其他材料。</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7、价格折扣文件格式（本项目专门面向中小企业采购，不涉及价格折扣，无需提供）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注：（1）以上4.1-4.4为资格审查要求提供的材料，是作为对供应商资格审查、质疑身份认定的依据，响应供应商必须提供并加盖电子公章。否则，磋商响应文件将被认定为不符合资格审查要求。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（2）以上5.1-5.7为符合性审查须提供的资料，响应供应商必须提供并加盖电子公章。否则，磋商响应文件将被认定为未实质性响应。</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（3）制作电子响应文件时必须与投标文件制作软件目录一一对应，将相关资料上传至相应模块。</w:t>
      </w:r>
      <w:r>
        <w:rPr>
          <w:rFonts w:ascii="SimSun" w:hAnsi="SimSun" w:eastAsia="SimSun" w:cs="SimSun"/>
          <w:color w:val="000000"/>
          <w:sz w:val="21"/>
        </w:rPr>
        <w:t xml:space="preserve">注意不要漏项。如有不确定上传的位置的，可以上传至其他资料或上传至符合性审查资料</w:t>
      </w:r>
      <w:r>
        <w:rPr>
          <w:rFonts w:ascii="SimSun" w:hAnsi="SimSun" w:eastAsia="SimSun" w:cs="SimSun"/>
          <w:b/>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（4）磋商响应文件编制要求：</w:t>
      </w:r>
      <w:r>
        <w:rPr>
          <w:rFonts w:ascii="SimSun" w:hAnsi="SimSun" w:eastAsia="SimSun" w:cs="SimSun"/>
          <w:color w:val="000000"/>
          <w:sz w:val="21"/>
        </w:rPr>
        <w:t xml:space="preserve">本项目采用电子招投标形式，请供应商按照《苏采云系统供应商操作手册》进行制作、上传电子响应文件。</w:t>
      </w:r>
      <w:r>
        <w:rPr>
          <w:rFonts w:ascii="SimSun" w:hAnsi="SimSun" w:eastAsia="SimSun" w:cs="SimSun"/>
          <w:b/>
          <w:color w:val="000000"/>
          <w:sz w:val="21"/>
        </w:rPr>
        <w:t xml:space="preserve">电子响应文件制作完成后请于响应文件递交截止时间前成功上传至“苏采云”系统，否则视为放弃参加该采购项目。</w:t>
      </w:r>
      <w:r>
        <w:rPr>
          <w:rFonts w:ascii="SimSun" w:hAnsi="SimSun" w:eastAsia="SimSun" w:cs="SimSun"/>
          <w:color w:val="000000"/>
          <w:sz w:val="21"/>
        </w:rPr>
        <w:t xml:space="preserve">供应商应充分考虑到网络环境、网络带宽等风险因素，如因供应商自身原因造成的电子响应文件上传不成功由供应商自行承担全部责任。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七、磋商程序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1、采购代理机构按规定的时间、地点主持磋商采购活动。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2、供应商通过“苏采云”系统在线参与磋商活动。供应商应当按照《苏采云系统供应商操作手册》规定在 “苏采云”系统规定的时间内对响应文件进行解密。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3、在磋商响应文件网上递交截止时间止成功解密的磋商供应商少于三家，则本次采购失败。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4、由磋商小组审查供应商解密的响应文件。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5、由磋商小组对各响应单位的资格进行审查。资格审查内容包括：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（1）供应商是否满足《中华人民共和国政府采购法》第二十二条规定的基本条件；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（2）信用查询：现场审查供应商是否在参加政府采购活动前三年内，在经营活动中没有重大违法记录；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（3）专门面向中小企业的项目，应当在资格审查环节对供应商出具的《中小企业声明函》进行审查；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（4）接受联合体投标的项目，联合体各方是否满足采购文件规定并提交相应证明文件；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（5）供应商是否满足采购文件规定的其他特定条件；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（6）供应商是否存在其他不得参与该政府采购项目的情形。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资格审查责任主体应按照采购文件的要求对投标（响应）供应商提供的资格审查文件独立进行资格审查并提交资格审查结果。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7、磋商小组要求供应商澄清、说明或者更正响应文件应当以书面形式做出。供应商的澄清、说明或者更正应当由其单位加盖电子公章。</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SimSun" w:hAnsi="SimSun" w:eastAsia="SimSun" w:cs="SimSun"/>
          <w:color w:val="000000"/>
          <w:sz w:val="21"/>
        </w:rPr>
        <w:t xml:space="preserve">(</w:t>
      </w:r>
      <w:r>
        <w:rPr>
          <w:rFonts w:ascii="SimSun" w:hAnsi="SimSun" w:eastAsia="SimSun" w:cs="SimSun"/>
          <w:b/>
          <w:color w:val="000000"/>
          <w:sz w:val="21"/>
        </w:rPr>
        <w:t xml:space="preserve">此处规定时间的计算以系统中的倒计时间为准，供应商应随时保持系统在线，如因供应商自身原因未在规定时间内提交澄清确认资料的，导致的不利后果由供应商自行承担。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8、对于通过资格审查和符合性审查的供应商，磋商小组所有成员集中与单一供应商分别进行磋商，并给予所有参加磋商的供应商平等的磋商机会。</w:t>
      </w:r>
      <w:r>
        <w:rPr>
          <w:rFonts w:ascii="SimSun" w:hAnsi="SimSun" w:eastAsia="SimSun" w:cs="SimSun"/>
          <w:b/>
          <w:color w:val="000000"/>
          <w:sz w:val="21"/>
        </w:rPr>
        <w:t xml:space="preserve">磋商小组通过“苏采云”系统向供应商发布“磋商函”，供应商应当按照要求在“苏采云”系统提交“磋商响应函”并加盖CA电子公章。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rPr>
          <w:rFonts w:ascii="SimSun" w:hAnsi="SimSun" w:eastAsia="SimSun" w:cs="SimSun"/>
          <w:b/>
          <w:color w:val="000000"/>
          <w:sz w:val="21"/>
        </w:rPr>
        <w:t xml:space="preserve">磋商结束后，磋商小组将在“苏采云”系统向所有实质性响应的供应商发布“最后报价要求函”及最后报价格式表，要求所有实质性响应的供应商在规定时间内提交最后报价。</w:t>
      </w:r>
      <w:r>
        <w:rPr>
          <w:rFonts w:ascii="SimSun" w:hAnsi="SimSun" w:eastAsia="SimSun" w:cs="SimSun"/>
          <w:color w:val="000000"/>
          <w:sz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ascii="SimSun" w:hAnsi="SimSun" w:eastAsia="SimSun" w:cs="SimSun"/>
          <w:b/>
          <w:color w:val="000000"/>
          <w:sz w:val="21"/>
        </w:rPr>
        <w:t xml:space="preserve">除因磋商采购文件修改导致供应商成本增加的，最后报价不得高于第一次报价，否则为无效响应报价。</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已提交响应文件的供应商，在提交最后报价之前，可以根据磋商情况退出磋商，并在“苏采云”系统中提交“退出磋商函”并加盖CA电子公章。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*进入项目评审流程后，建议各供应商法定代表人或授权委托人始终保持通讯顺畅，时刻关注不见面开标大厅，不离开不见面开标大厅。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12、经磋商确定最终采购需求和提交最后报价的供应商后，由磋商小组采用综合评分法对提交最后报价的供应商的响应文件和最后报价进行综合评分。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13、磋商小组根据磋商成交原则确定成交供应商，并将结果通知所有参加磋商的供应商。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14、如磋商过程中出现本采购文件未尽事宜，由磋商小组根据政府采购有关法律、法规讨论决定。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八、综合说明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响应报价包括：完成该项目所需的全部人工费、材料费、机械使用费、管理费、利润、工程风险、规费、税金，以及所需的深化设计、施工准备、施工过程、保修期等所需的供货、运输、人工、运杂保险、装卸、备品、备件、损耗、安装、调试、人员培训、售后服务、专利技术等一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2、磋商响应单位必须说明其是否响应采购文件中提出的全部服务内容与要求，如果以其中某些条款不响应时，应在文件中逐条列出，未列出的视同响应。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3、磋商保证金：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b/>
          <w:color w:val="000000"/>
          <w:sz w:val="21"/>
        </w:rPr>
        <w:t xml:space="preserve">þ</w:t>
      </w:r>
      <w:r>
        <w:rPr>
          <w:rFonts w:ascii="SimSun" w:hAnsi="SimSun" w:eastAsia="SimSun" w:cs="SimSun"/>
          <w:b/>
          <w:color w:val="000000"/>
          <w:sz w:val="21"/>
        </w:rPr>
        <w:t xml:space="preserve">不需提交，采购文件中有关磋商保证金的规定均不适用。投标（响应）人应在投标（响应）文件中提交《投标（响应）保证承诺书》（详见附件），否则为无效投标。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成交服务费：由成交单位按照预算金额计算并支付，具体为100万元以内1.5%、100万元～500万元以内1.1%差额定率累进法计算并支付成交服务费，该费用应在领取成交通知书时付清。本项目服务费金额为人民币41400.00元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服务费交纳账户：苏州顺心源招投标咨询服务有限公司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开户银行：中国建设银行苏州胥口支行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号：3225  0199 7548  0000  0790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（1）不符合供应商资格要求的响应文件将被拒绝；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机器码检查中，不同供应商使用同一台电脑编制响应文件的，响应文件将被认定为无效响应；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（3）最终报价超过采购预算或最高限价的，不能成交；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（4）不实质性响应磋商文件的不能成交；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磋商响应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（6）最终合同单价按最终总报价同比例下浮。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b/>
          <w:color w:val="000000"/>
          <w:sz w:val="21"/>
        </w:rPr>
        <w:t xml:space="preserve">联合投标：本项目不接受联合投标。</w:t>
      </w:r>
      <w:r/>
    </w:p>
    <w:p>
      <w:pPr>
        <w:numPr>
          <w:ilvl w:val="0"/>
          <w:numId w:val="5"/>
        </w:numPr>
        <w:spacing w:before="240" w:after="24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numPr>
          <w:ilvl w:val="0"/>
          <w:numId w:val="5"/>
        </w:numPr>
        <w:spacing w:before="240" w:after="24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numPr>
          <w:ilvl w:val="0"/>
          <w:numId w:val="5"/>
        </w:numPr>
        <w:spacing w:before="240" w:after="24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联合体各方共同与采购人签订合同，就采购合同约定的事项对采购人承担连带责任。</w:t>
      </w:r>
      <w:r/>
    </w:p>
    <w:p>
      <w:pPr>
        <w:numPr>
          <w:ilvl w:val="0"/>
          <w:numId w:val="5"/>
        </w:numPr>
        <w:spacing w:before="240" w:after="24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除非另有规定或说明，本文中“响应单位”一词亦指联合体各成员。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7、凡涉及磋商采购文件的补充说明和修改，均以苏州政府采购网上发布的通知为准。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SimSun" w:hAnsi="SimSun" w:eastAsia="SimSun" w:cs="SimSun"/>
          <w:b/>
          <w:color w:val="000000"/>
          <w:sz w:val="21"/>
        </w:rPr>
        <w:t xml:space="preserve">关于对参与供应商信用记录的政府采购要求</w:t>
      </w:r>
      <w:r>
        <w:rPr>
          <w:rFonts w:ascii="SimSun" w:hAnsi="SimSun" w:eastAsia="SimSun" w:cs="SimSun"/>
          <w:color w:val="000000"/>
          <w:sz w:val="21"/>
        </w:rPr>
        <w:t xml:space="preserve">：</w:t>
      </w:r>
      <w:r/>
    </w:p>
    <w:p>
      <w:pPr>
        <w:ind w:left="0" w:right="0" w:firstLine="420"/>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（1）采购代理机构会在接收响应文件截止时间后，登录信用中国网站（www.creditchina.gov.cn/）查询供应商的信用记录，并将查询结果递交评审小组。</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（3）供应商若在经营活动中受到罚款的，请携带相关地方、部门对较大数额认定标准的证明材料，与响应文件一并提交。若无法提供，则可能承担响应无效等相应不利后果。</w:t>
      </w:r>
      <w:r/>
    </w:p>
    <w:p>
      <w:pPr>
        <w:ind w:left="0" w:right="0" w:firstLine="42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（4）对存在失信信息的供应商，由失信供应商进行确认。同时，采购代理机构工作人员应根据评审小组确认的失信信息，登录到相关来源网站页面进行复核并打印，作为证据留存。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（5）按照《中华人民共和国政府采购法》第二十二条规定，下列信用记录属于应依法拒绝供应商参加政府采购的失信信息：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（一）政府采购严重违法记录，即供应商被全国各级财政部门列入“政府采购严重违法失信行为记录名单”，且在处罚有效期内的。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（二）财政部门与法院、工商、税务等部门联合惩戒的失信信息，包括：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1）被列入失信被执行人名单；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2）被列入重大税收违法案件当事人名单；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9、告知成交结果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采购单位或其委托的代理机构根据相关规定发布成交公告，成交公告发出的同时应当向成交供应商发出《成交通知书》</w:t>
      </w:r>
      <w:r>
        <w:rPr>
          <w:rFonts w:ascii="SimSun" w:hAnsi="SimSun" w:eastAsia="SimSun" w:cs="SimSun"/>
          <w:color w:val="000000"/>
          <w:sz w:val="21"/>
          <w:u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SimSun" w:hAnsi="SimSun" w:eastAsia="SimSun" w:cs="SimSun"/>
          <w:color w:val="000000"/>
          <w:sz w:val="21"/>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10、成交供应商除发生法律规定的不能预见、不能避免并不能克服的客观情况外不得放弃或拒绝签订合同的。放弃或拒绝签订合同的，采购人视情将其通报给财政部门。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11、采购合同履行中，采购人需追加与合同标的相同的服务的，在不改变合同其他条款的前提下，可以与成交供应商协商签订补充合同，但所有补充合同的项目金额不得超过原合同项目金额的百分之十。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12、成交供应商拒绝签订采购合同的，或因不可抗力或者自身原因不能履行采购合同的，采购人可以视情与排位在成交供应商之后第一位的成交候选供应商签订采购合同，也可以重新开展招标活动。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13、质疑处理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13.2本次采购文件要求供应商在法定质疑期内一次性提出针对同一采购程序环节的质疑。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13.3供应商提出质疑应当提交质疑函和必要的证明材料，质疑函应当包括下列内容：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（1）供应商的姓名或者名称（以提供的营业执照副本复印件为准）、地址、邮编、联系人及联系电话；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（2）质疑项目的名称、编号；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（3）具体、明确的质疑事项和与质疑事项相关的请求；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（4）事实依据；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（5）必要的法律依据；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（6）提出质疑的日期。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供应商为自然人的，应当由本人签字；供应商为法人或者其他组织的，应当由法定代表人、主要负责人，或者其授权代表签字或者盖章，并加盖公章。供应商委托代理进行质疑的，其</w:t>
      </w:r>
      <w:r>
        <w:rPr>
          <w:rFonts w:ascii="SimSun" w:hAnsi="SimSun" w:eastAsia="SimSun" w:cs="SimSun"/>
          <w:b/>
          <w:color w:val="000000"/>
          <w:sz w:val="21"/>
        </w:rPr>
        <w:t xml:space="preserve">授权委托书</w:t>
      </w:r>
      <w:r>
        <w:rPr>
          <w:rFonts w:ascii="SimSun" w:hAnsi="SimSun" w:eastAsia="SimSun" w:cs="SimSun"/>
          <w:color w:val="000000"/>
          <w:sz w:val="21"/>
        </w:rPr>
        <w:t xml:space="preserve">上应当载明代理人的姓名或者名称、代理事项、具体权限、期限和相关事项。</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供应商提交的质疑函必须按照《政府采购供应商质疑函范本》要求的格式和内容进行填写，质疑函范本下载网址详见链接：https://czju.suzhou.gov.cn/zfcg/html/content/20180305093615738.shtml</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ascii="SimSun" w:hAnsi="SimSun" w:eastAsia="SimSun" w:cs="SimSun"/>
          <w:b/>
          <w:color w:val="000000"/>
          <w:sz w:val="21"/>
        </w:rPr>
        <w:t xml:space="preserve">《投标供应商确认函》</w:t>
      </w:r>
      <w:r>
        <w:rPr>
          <w:rFonts w:ascii="SimSun" w:hAnsi="SimSun" w:eastAsia="SimSun" w:cs="SimSun"/>
          <w:color w:val="000000"/>
          <w:sz w:val="21"/>
        </w:rPr>
        <w:t xml:space="preserve">）与质疑函一起递交，否则不予受理。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13.5接收质疑函的方式：书面形式（当场送达或邮寄方式）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质疑联系人：赵晓燕、林玉琼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联系电话：0512-65980060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现场递交地址:苏州市吴中区木渎镇翠坊南街蓝湾文旅街区13号楼102室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邮寄收取地址:苏州市吴中区木渎镇翠坊南街蓝湾文旅街区13号楼102室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14、相关政策（如涉及）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w:t>
      </w:r>
      <w:r>
        <w:rPr>
          <w:rFonts w:ascii="SimSun" w:hAnsi="SimSun" w:eastAsia="SimSun" w:cs="SimSun"/>
          <w:b/>
          <w:color w:val="000000"/>
          <w:sz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其投标报价扣除20%后参与评审。</w:t>
      </w:r>
      <w:r>
        <w:rPr>
          <w:rFonts w:ascii="SimSun" w:hAnsi="SimSun" w:eastAsia="SimSun" w:cs="SimSun"/>
          <w:b/>
          <w:color w:val="000000"/>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ascii="SimSun" w:hAnsi="SimSun" w:eastAsia="SimSun" w:cs="SimSun"/>
          <w:b/>
          <w:color w:val="000000"/>
          <w:sz w:val="21"/>
        </w:rPr>
        <w:t xml:space="preserve">服务类项目中供应商若使用退休人员，将不享受相关扶持政策。</w:t>
      </w:r>
      <w:r/>
    </w:p>
    <w:p>
      <w:pPr>
        <w:ind w:left="0" w:right="0" w:firstLine="42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根据《政府采购促进中小企业发展管理办法》（财库〔2020〕46号）及《中小企业划型标准规定》（工信部联企业〔2011〕300号），本采购项目对应的中小企业划分标准所属行业为：建筑业。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（3）残疾人福利性单位</w:t>
      </w:r>
      <w:r>
        <w:rPr>
          <w:rFonts w:ascii="SimSun" w:hAnsi="SimSun" w:eastAsia="SimSun" w:cs="SimSun"/>
          <w:b/>
          <w:color w:val="000000"/>
          <w:sz w:val="21"/>
        </w:rPr>
        <w:t xml:space="preserve">（若为专门面向中小企业采购的项目或者采购包，不再执行价格评审优惠的扶持政策）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（4）监狱企业</w:t>
      </w:r>
      <w:r>
        <w:rPr>
          <w:rFonts w:ascii="SimSun" w:hAnsi="SimSun" w:eastAsia="SimSun" w:cs="SimSun"/>
          <w:b/>
          <w:color w:val="000000"/>
          <w:sz w:val="21"/>
        </w:rPr>
        <w:t xml:space="preserve">（若为专门面向中小企业采购的项目或者采购包，不再执行价格评审优惠的扶持政策）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（5）绿色采购</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1）根据《关于调整优化节能产品、环境标志产品政府采购执行机制的通知》（财库〔2019〕9号）等相关文件的规定，</w:t>
      </w:r>
      <w:r>
        <w:rPr>
          <w:rFonts w:ascii="SimSun" w:hAnsi="SimSun" w:eastAsia="SimSun" w:cs="SimSun"/>
          <w:b/>
          <w:color w:val="000000"/>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15、项目的终止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出现下列情形之一的，将终止竞争性磋商采购活动：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（1）因情况变化，不再符合规定的竞争性磋商采购方式适用情形的；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（3）在采购活动中因重大变故，采购任务取消的。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16、导致无效投标因素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投标人（响应单位）存在下列情况之一的，投标无效：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（1）投标（响应）文件未按招标（采购）文件要求签署、盖章的；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（2）不具备招标（采购）文件中规定的资格要求的；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（3）报价超过招标（采购）文件中规定的预算金额（总预算和单项预算）或者最高限价的；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（4）投标（响应）文件含有采购单位不能接受的附加条件的；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（5）不同投标（响应）文件制作机器码一致的；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（6）法律、法规和招标（采购）文件规定的其他无效情形。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三、评标方法及评分标准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一、评标方法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1、本次招标评标方法为综合评分法，即在</w:t>
      </w:r>
      <w:r>
        <w:rPr>
          <w:rFonts w:ascii="SimSun" w:hAnsi="SimSun" w:eastAsia="SimSun" w:cs="SimSun"/>
          <w:color w:val="000000"/>
          <w:sz w:val="21"/>
        </w:rPr>
        <w:t xml:space="preserve">最大限度地</w:t>
      </w:r>
      <w:r>
        <w:rPr>
          <w:rFonts w:ascii="SimSun" w:hAnsi="SimSun" w:eastAsia="SimSun" w:cs="SimSun"/>
          <w:color w:val="000000"/>
          <w:sz w:val="21"/>
          <w:highlight w:val="white"/>
        </w:rPr>
        <w:t xml:space="preserve">满足采购文件实质性要求前提下，按照采购文件中规定的评分标准和各项因素进行综合评审后，</w:t>
      </w:r>
      <w:r>
        <w:rPr>
          <w:rFonts w:ascii="SimSun" w:hAnsi="SimSun" w:eastAsia="SimSun" w:cs="SimSun"/>
          <w:color w:val="000000"/>
          <w:sz w:val="21"/>
        </w:rPr>
        <w:t xml:space="preserve">由综合评分得分最高的磋商响应单位为成交候选单位。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3、如出现评标总得分最高的磋商响应单位有两个或两个以上的，以投标报价较低者优先作为成交单位，如果实际投标报价也相同的，则由采购人或者采购代理机构以抽签方式确定成交单位。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4、评标委员会认为投标单位的报价明显低于其他通过符合性审查投标单位的报价，有可能影响产品质量或者不能诚信履约的，应当要求其在</w:t>
      </w:r>
      <w:r>
        <w:rPr>
          <w:rFonts w:ascii="SimSun" w:hAnsi="SimSun" w:eastAsia="SimSun" w:cs="SimSun"/>
          <w:color w:val="000000"/>
          <w:sz w:val="21"/>
        </w:rPr>
        <w:t xml:space="preserve">苏采云系统</w:t>
      </w:r>
      <w:r>
        <w:rPr>
          <w:rFonts w:ascii="SimSun" w:hAnsi="SimSun" w:eastAsia="SimSun" w:cs="SimSun"/>
          <w:color w:val="000000"/>
          <w:sz w:val="21"/>
          <w:highlight w:val="white"/>
        </w:rPr>
        <w:t xml:space="preserve">内提供书面说明，必要时提交相关证明材料；投标单位不能证明其报价合理性的，评标委员会应当将其作为无效投标处理。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根据江苏省财政厅《关于推动解决政府采购异常低价问题相关工作的通知》（苏财购〔2025〕62号）规定，政府采购异常低价审查：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（1）评审过程中出现下列情形之一的，评审委员会应当启动异常低价投标(响应)审查程序：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①投标(响应)报价低于采购项目预算50%的，即投标(响应)报价＜采购项目预算×50%；</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②投标(响应)报价低于采购项目最高限价45%的，即投标(响应)报价＜采购项目最高限价×45%；</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③评审委员会认定的供应商报价过低、有可能影响产品质量或者不能诚信履约的其他情形。</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符合上述启动异常低价投标(响应)审查情形的，相关供应商应按评审委员会要求在评标现场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二、评分标准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（一）价格基准分（10分）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第一步：磋商报价低于或等于财政预算价格及最高限价的，为有效磋商报价。超财政预算及最高限价的磋商报价文件为未实质性响应文件，不参与评审。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第二步：在所有有效磋商报价中满足采购文件要求，且磋商价格最低的磋商报价为评标基准价，其价格分为10分，其他供应商的价格分按照下列公式计算（计算结果四舍五入保留两位小数）磋商报价得分＝（评审基准价/最后磋商报价）×10%×100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（二）施工组织设计：(62分)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(1)总体概述：工程概述、总体安排、及施工部署、项目组织管理机构等健全、合理、规范、高效，具有可操作性强，内容描述详细的得7分；可操作性尚可，内容描述较详细的得5分；可操作性一般，内容描述一般的得3分；可操作性差，内容描述特少的得1分,没有描述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主要施工方案及技术措施：分部、分项施工方案包含本项目图纸、工程量清单内所有内容、关键施工技术、工艺及工程项目实施的重点、难点和解决方案齐全、科学合理、操作性强、规范、高效，内容描述详细的得7分；可操作性尚可，内容描述较详细的得5分；可操作性一般，内容描述一般的得3分；可操作性差，内容描述特少的得1分,没有描述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施工进度计划及进度保证措施：关于本工程施工进度计划的描述，以及为完成该计划所定措施科学、合理、规范、高效，具有可操作性强，内容描述详细的得7分；可操作性尚可，内容描述较详细的得5分；可操作性一般，内容描述一般的得3分；可操作性差，内容描述特少的得1分,没有描述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施工准备与资源配置计划：用于该工程的技术、资源，劳动力、主要材料、机械及各种设备的使用管理等内容比较，具有可操作性强，内容描述详细的得7分；可操作性尚可，内容描述较详细的得5分；可操作性一般，内容描述一般的得3分；可操作性差，内容描述特少的得1分,没有描述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工程安全文明施工及环境保护措施：安全文明施工，施工现场扬尘、噪声污染防治措施及其他环境保护方面的措施科学、合理、规范，具有可操作性强，内容描述详细的得7分；可操作性尚可，内容描述较详细的得5分；可操作性一般，内容描述一般的得3分；可操作性差，内容描述特少的得1分,没有描述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季节性施工方案：夏季高温、雨季施工措施科学合理、规范、高效，具有可操作性强，内容描述详细的得7分；可操作性尚可，内容描述较详细的得5分；可操作性一般，内容描述一般的得3分；可操作性差，内容描述特少的得1分,没有描述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应急救援预案：施工区域内可能存在的危险应急响应预案科学合理、规范、高效，具有可操作性强，内容描述详细的得7分；可操作性尚可，内容描述较详细的得5分；可操作性一般，内容描述一般的得3分；可操作性差，内容描述特少的得1分,没有描述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(8) 后期养护方案：方案合理、高效，具有可操作性强，内容描述详细的得7分；可操作性尚可，内容描述较详细的得5分；可操作性一般，内容描述一般的得3分；可操作性差，内容描述特少的得1分,没有描述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(9)竣工验收资料归档：资料管理方案、竣工验收程序规范、高效，具有可操作性强，内容描述详细的得6分；可操作性尚可，内容描述较简单的得4分；可操作性差，内容描述特少的得2分,没有描述的不得分。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（三）项目组成员及劳动力配备（10分）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1、技术负责人具有与本项目相关专业高级工程师职称的得3分，中级工程师职称的得2分，初级职称的得1分，本项最高得3分。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（响应文件中提供上述人员证书复印件及本单位为其缴纳的最新一期社保证明，未按上述要求提供材料不得分。）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2、项目组成员具有工程师及以上职称的，每有一人得1分，最高3分。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（响应文件中提供上述人员证书复印件及本单位为其缴纳的最新一期社保证明，未按上述要求提供材料不得分。）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3、拟投入项目组成员（材料员、安全员、施工员、质量员），每配备一人得1分，最高4分，相同岗位证书不重复得分。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（响应文件中提供上述人员证书复印件及本单位为其缴纳的最新一期社保证明，未按上述要求提供材料不得分。）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（四）供应商综合实力比较（18分）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（1）供应商具有有效期内的质量管理体系认证证书、环境管理体系认证证书、职业健康安全管理体系认证证书，每个得3分，最高9分。（提供中国认监委网站查询结果截图，否则不得分。）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（2）近三年承担过类似项目的（以竣工验收证明时间为准）有一个得3分最高9分。（提供施工合同、验收证明，提供不全不得分，时间以验收证明日期为准；近三年指2022年12月至今）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1、报价超过最高限价或付款步骤、质保、工期有负偏离的将不进入综合评审程序，也不得成交。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2、针对评分标准中评分的每一条，磋商响应单位均应提供相关资料并作出相应说明供评委评判，不提供相关资料的视为不具备该项得分的条件。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3、采购文件中要求加盖响应单位公章的，可用电子签章代替；要求提供复印件的，可用扫描件代替。</w:t>
      </w:r>
      <w:r/>
    </w:p>
    <w:p>
      <w:pPr>
        <w:ind w:left="0" w:right="0" w:firstLine="0"/>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四、合同主要条款及格式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第一部分</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合同协议书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72"/>
        </w:rPr>
        <w:t xml:space="preserve">建设工程施工合同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w:t>
      </w:r>
      <w:r>
        <w:rPr>
          <w:rFonts w:ascii="Times New Roman" w:hAnsi="Times New Roman" w:eastAsia="Times New Roman" w:cs="Times New Roman"/>
          <w:color w:val="000000"/>
          <w:sz w:val="32"/>
        </w:rPr>
        <w:t xml:space="preserve">GF</w:t>
      </w:r>
      <w:r>
        <w:rPr>
          <w:rFonts w:ascii="FangSong" w:hAnsi="FangSong" w:eastAsia="FangSong" w:cs="FangSong"/>
          <w:color w:val="000000"/>
          <w:sz w:val="32"/>
        </w:rPr>
        <w:t xml:space="preserve">—</w:t>
      </w:r>
      <w:r>
        <w:rPr>
          <w:rFonts w:ascii="Times New Roman" w:hAnsi="Times New Roman" w:eastAsia="Times New Roman" w:cs="Times New Roman"/>
          <w:color w:val="000000"/>
          <w:sz w:val="32"/>
        </w:rPr>
        <w:t xml:space="preserve">2017</w:t>
      </w:r>
      <w:r>
        <w:rPr>
          <w:rFonts w:ascii="FangSong" w:hAnsi="FangSong" w:eastAsia="FangSong" w:cs="FangSong"/>
          <w:color w:val="000000"/>
          <w:sz w:val="32"/>
        </w:rPr>
        <w:t xml:space="preserve">—</w:t>
      </w:r>
      <w:r>
        <w:rPr>
          <w:rFonts w:ascii="Times New Roman" w:hAnsi="Times New Roman" w:eastAsia="Times New Roman" w:cs="Times New Roman"/>
          <w:color w:val="000000"/>
          <w:sz w:val="32"/>
        </w:rPr>
        <w:t xml:space="preserve">0201</w:t>
      </w:r>
      <w:r>
        <w:rPr>
          <w:rFonts w:ascii="FangSong" w:hAnsi="FangSong" w:eastAsia="FangSong" w:cs="FangSong"/>
          <w:color w:val="000000"/>
          <w:sz w:val="32"/>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992"/>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项目名称</w:t>
      </w:r>
      <w:r>
        <w:rPr>
          <w:rFonts w:ascii="FangSong" w:hAnsi="FangSong" w:eastAsia="FangSong" w:cs="FangSong"/>
          <w:color w:val="000000"/>
          <w:sz w:val="28"/>
        </w:rPr>
        <w:t xml:space="preserve">：</w:t>
      </w:r>
      <w:r/>
    </w:p>
    <w:p>
      <w:pPr>
        <w:ind w:left="0" w:right="0" w:firstLine="1059"/>
        <w:jc w:val="both"/>
        <w:spacing w:before="0" w:after="0" w:line="113" w:lineRule="atLeast"/>
        <w:tabs>
          <w:tab w:val="left" w:pos="900" w:leader="none"/>
          <w:tab w:val="left" w:pos="12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发 包 人：</w:t>
      </w:r>
      <w:r/>
    </w:p>
    <w:p>
      <w:pPr>
        <w:ind w:left="0" w:right="0" w:firstLine="992"/>
        <w:jc w:val="both"/>
        <w:spacing w:before="0" w:after="0" w:line="113" w:lineRule="atLeast"/>
        <w:tabs>
          <w:tab w:val="left" w:pos="27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承 包 人：</w:t>
      </w:r>
      <w:r/>
    </w:p>
    <w:p>
      <w:pPr>
        <w:ind w:left="0" w:right="0" w:firstLine="992"/>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签订日期：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2719" w:firstLine="2738"/>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33425" cy="4667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78006" name=""/>
                        <pic:cNvPicPr>
                          <a:picLocks noChangeAspect="1"/>
                        </pic:cNvPicPr>
                        <pic:nvPr/>
                      </pic:nvPicPr>
                      <pic:blipFill>
                        <a:blip/>
                        <a:stretch/>
                      </pic:blipFill>
                      <pic:spPr bwMode="auto">
                        <a:xfrm>
                          <a:off x="0" y="0"/>
                          <a:ext cx="733424" cy="466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8pt;height:36.8pt;mso-wrap-distance-left:0.0pt;mso-wrap-distance-top:0.0pt;mso-wrap-distance-right:0.0pt;mso-wrap-distance-bottom:0.0pt;" stroked="false">
                <v:path textboxrect="0,0,0,0"/>
              </v:shape>
            </w:pict>
          </mc:Fallback>
        </mc:AlternateContent>
      </w:r>
      <w:r>
        <w:rPr>
          <w:rFonts w:ascii="SimSun" w:hAnsi="SimSun" w:eastAsia="SimSun" w:cs="SimSun"/>
          <w:b/>
          <w:color w:val="000000"/>
          <w:sz w:val="32"/>
        </w:rPr>
        <w:t xml:space="preserve">住房城乡建设部</w:t>
      </w:r>
      <w:r/>
    </w:p>
    <w:p>
      <w:pPr>
        <w:ind w:left="0" w:right="2719" w:firstLine="275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国家工商行政管理总局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78" w:right="78"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8"/>
          <w:u w:val="none"/>
        </w:rPr>
        <w:t xml:space="preserve"> </w:t>
      </w:r>
      <w:r/>
    </w:p>
    <w:p>
      <w:pPr>
        <w:ind w:left="0" w:right="78"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8"/>
        </w:rPr>
        <w:t xml:space="preserve"> </w:t>
      </w:r>
      <w:r/>
    </w:p>
    <w:p>
      <w:pPr>
        <w:ind w:left="0" w:right="78"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8"/>
        </w:rPr>
        <w:t xml:space="preserve"> </w:t>
      </w:r>
      <w:r/>
    </w:p>
    <w:p>
      <w:pPr>
        <w:ind w:left="0" w:right="78" w:firstLine="0"/>
        <w:jc w:val="center"/>
        <w:spacing w:before="120" w:after="12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8"/>
          <w:highlight w:val="none"/>
        </w:rPr>
      </w:r>
      <w:r>
        <w:rPr>
          <w:rFonts w:ascii="STZhongsong" w:hAnsi="STZhongsong" w:eastAsia="STZhongsong" w:cs="STZhongsong"/>
          <w:b/>
          <w:color w:val="000000"/>
          <w:sz w:val="28"/>
          <w:highlight w:val="none"/>
        </w:rPr>
      </w:r>
      <w:r/>
    </w:p>
    <w:p>
      <w:pPr>
        <w:ind w:left="0" w:right="78" w:firstLine="0"/>
        <w:jc w:val="center"/>
        <w:spacing w:before="120" w:after="120" w:line="85" w:lineRule="atLeast"/>
        <w:rPr>
          <w:rFonts w:ascii="STZhongsong" w:hAnsi="STZhongsong" w:eastAsia="STZhongsong" w:cs="STZhongsong"/>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8"/>
          <w:highlight w:val="none"/>
        </w:rPr>
      </w:r>
      <w:r>
        <w:rPr>
          <w:rFonts w:ascii="STZhongsong" w:hAnsi="STZhongsong" w:eastAsia="STZhongsong" w:cs="STZhongsong"/>
          <w:b/>
          <w:color w:val="000000"/>
          <w:sz w:val="28"/>
          <w:highlight w:val="none"/>
        </w:rPr>
      </w:r>
    </w:p>
    <w:p>
      <w:pPr>
        <w:ind w:left="0" w:right="78" w:firstLine="0"/>
        <w:jc w:val="center"/>
        <w:spacing w:before="120" w:after="120" w:line="85" w:lineRule="atLeast"/>
        <w:rPr>
          <w:rFonts w:ascii="STZhongsong" w:hAnsi="STZhongsong" w:eastAsia="STZhongsong" w:cs="STZhongsong"/>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8"/>
          <w:highlight w:val="none"/>
        </w:rPr>
      </w:r>
      <w:r>
        <w:rPr>
          <w:rFonts w:ascii="STZhongsong" w:hAnsi="STZhongsong" w:eastAsia="STZhongsong" w:cs="STZhongsong"/>
          <w:b/>
          <w:color w:val="000000"/>
          <w:sz w:val="28"/>
          <w:highlight w:val="none"/>
        </w:rPr>
      </w:r>
    </w:p>
    <w:p>
      <w:pPr>
        <w:ind w:left="0" w:right="78" w:firstLine="0"/>
        <w:jc w:val="center"/>
        <w:spacing w:before="120" w:after="120" w:line="85" w:lineRule="atLeast"/>
        <w:rPr>
          <w:rFonts w:ascii="STZhongsong" w:hAnsi="STZhongsong" w:eastAsia="STZhongsong" w:cs="STZhongsong"/>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8"/>
          <w:highlight w:val="none"/>
        </w:rPr>
      </w:r>
      <w:r>
        <w:rPr>
          <w:rFonts w:ascii="STZhongsong" w:hAnsi="STZhongsong" w:eastAsia="STZhongsong" w:cs="STZhongsong"/>
          <w:b/>
          <w:color w:val="000000"/>
          <w:sz w:val="28"/>
          <w:highlight w:val="none"/>
        </w:rPr>
      </w:r>
    </w:p>
    <w:p>
      <w:pPr>
        <w:ind w:left="0" w:right="78" w:firstLine="0"/>
        <w:jc w:val="center"/>
        <w:spacing w:before="120" w:after="120" w:line="85" w:lineRule="atLeast"/>
        <w:rPr>
          <w:rFonts w:ascii="STZhongsong" w:hAnsi="STZhongsong" w:eastAsia="STZhongsong" w:cs="STZhongsong"/>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8"/>
          <w:highlight w:val="none"/>
        </w:rPr>
      </w:r>
      <w:r>
        <w:rPr>
          <w:rFonts w:ascii="STZhongsong" w:hAnsi="STZhongsong" w:eastAsia="STZhongsong" w:cs="STZhongsong"/>
          <w:b/>
          <w:color w:val="000000"/>
          <w:sz w:val="28"/>
          <w:highlight w:val="none"/>
        </w:rPr>
      </w:r>
    </w:p>
    <w:p>
      <w:pPr>
        <w:ind w:left="0" w:right="78" w:firstLine="0"/>
        <w:jc w:val="center"/>
        <w:spacing w:before="120" w:after="120" w:line="85" w:lineRule="atLeast"/>
        <w:rPr>
          <w:rFonts w:ascii="STZhongsong" w:hAnsi="STZhongsong" w:eastAsia="STZhongsong" w:cs="STZhongsong"/>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8"/>
        </w:rPr>
        <w:t xml:space="preserve">第一部分 合同协议书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发包人（全称）：</w:t>
      </w:r>
      <w:r>
        <w:rPr>
          <w:rFonts w:ascii="SimSun" w:hAnsi="SimSun" w:eastAsia="SimSun" w:cs="SimSun"/>
          <w:b/>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承包人（全称）：</w:t>
      </w:r>
      <w:r>
        <w:rPr>
          <w:rFonts w:ascii="SimSun" w:hAnsi="SimSun" w:eastAsia="SimSun" w:cs="SimSun"/>
          <w:b/>
          <w:color w:val="000000"/>
          <w:sz w:val="21"/>
          <w:u w:val="single"/>
        </w:rPr>
        <w:t xml:space="preserve">                           </w:t>
      </w:r>
      <w:r/>
    </w:p>
    <w:p>
      <w:pPr>
        <w:ind w:left="0" w:right="0" w:firstLine="0"/>
        <w:jc w:val="both"/>
        <w:spacing w:before="0" w:after="0" w:line="85" w:lineRule="atLeast"/>
        <w:tabs>
          <w:tab w:val="left" w:pos="51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51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51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51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根据《中华人民共和国政府采购法》《中华人民共和国民法典》等相关法律法规的规定、苏州顺心源招投标咨询服务有限公司采购编号</w:t>
      </w:r>
      <w:r>
        <w:rPr>
          <w:rFonts w:ascii="SimSun" w:hAnsi="SimSun" w:eastAsia="SimSun" w:cs="SimSun"/>
          <w:color w:val="000000"/>
          <w:sz w:val="21"/>
          <w:u w:val="single"/>
        </w:rPr>
        <w:t xml:space="preserve">JSZC-320506-SXYZ-C2025-0004</w:t>
      </w:r>
      <w:r>
        <w:rPr>
          <w:rFonts w:ascii="SimSun" w:hAnsi="SimSun" w:eastAsia="SimSun" w:cs="SimSun"/>
          <w:color w:val="000000"/>
          <w:sz w:val="21"/>
        </w:rPr>
        <w:t xml:space="preserve">号竞争性磋商文件及乙方的响应文件和成交通知书，甲乙双方就此次成交的</w:t>
      </w:r>
      <w:r>
        <w:rPr>
          <w:rFonts w:ascii="SimSun" w:hAnsi="SimSun" w:eastAsia="SimSun" w:cs="SimSun"/>
          <w:color w:val="000000"/>
          <w:sz w:val="21"/>
          <w:u w:val="single"/>
        </w:rPr>
        <w:t xml:space="preserve">2025年安置小区零星维修工程（藏书片区）</w:t>
      </w:r>
      <w:r>
        <w:rPr>
          <w:rFonts w:ascii="SimSun" w:hAnsi="SimSun" w:eastAsia="SimSun" w:cs="SimSun"/>
          <w:color w:val="000000"/>
          <w:sz w:val="21"/>
        </w:rPr>
        <w:t xml:space="preserve">（以下简称“本工程”）的采购事宜，签订本合同书，以兹共同遵守。</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一、工程概况</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      。</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      。</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3.工程立项批准文号：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4.资金来源：</w:t>
      </w:r>
      <w:r>
        <w:rPr>
          <w:rFonts w:ascii="SimSun" w:hAnsi="SimSun" w:eastAsia="SimSun" w:cs="SimSun"/>
          <w:color w:val="000000"/>
          <w:sz w:val="21"/>
          <w:u w:val="single"/>
        </w:rPr>
        <w:t xml:space="preserve">    财政 </w:t>
      </w:r>
      <w:r>
        <w:rPr>
          <w:rFonts w:ascii="SimSun" w:hAnsi="SimSun" w:eastAsia="SimSun" w:cs="SimSun"/>
          <w:color w:val="000000"/>
          <w:sz w:val="21"/>
        </w:rPr>
        <w:t xml:space="preserve">。</w:t>
      </w:r>
      <w:r/>
    </w:p>
    <w:p>
      <w:pPr>
        <w:ind w:left="0" w:right="0" w:firstLine="45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5.工程内容：</w:t>
      </w:r>
      <w:r>
        <w:rPr>
          <w:rFonts w:ascii="SimSun" w:hAnsi="SimSun" w:eastAsia="SimSun" w:cs="SimSun"/>
          <w:color w:val="000000"/>
          <w:sz w:val="21"/>
          <w:u w:val="single"/>
        </w:rPr>
        <w:t xml:space="preserve">/。</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群体工程应附《承包人承揽工程项目一览表》（附件1）。</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6.工程承包范围：</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二、合同工期</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  年   月    日。</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  年   月    日。</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工期300日历天（金额完成后可结束合同，本项目具体开工日期以采购人通知为准）。工期总日历天数与根据前述计划开竣工日期计算的工期天数不一致的，以工期总日历天数为准。以上为计划开、竣工日期，实际开工日期以监理发出的开工报告日期为准，竣工日期以本合同承包范围内容的竣工验收证明书的验收日期为准（工期均为日历天）。</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三、质量标准</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工程质量符合标准。</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四、签约合同价与合同价格形式</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1.签约合同价为：人民币（大写）</w:t>
      </w:r>
      <w:r>
        <w:rPr>
          <w:rFonts w:ascii="SimSun" w:hAnsi="SimSun" w:eastAsia="SimSun" w:cs="SimSun"/>
          <w:b/>
          <w:color w:val="000000"/>
          <w:sz w:val="21"/>
          <w:u w:val="single"/>
        </w:rPr>
        <w:t xml:space="preserve">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（1）安全文明施工费：</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 (</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（2）材料和工程设备暂估价金额：</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 (</w:t>
      </w:r>
      <w:r>
        <w:rPr>
          <w:rFonts w:ascii="SimSun" w:hAnsi="SimSun" w:eastAsia="SimSun" w:cs="SimSun"/>
          <w:color w:val="000000"/>
          <w:sz w:val="21"/>
          <w:u w:val="single"/>
        </w:rPr>
        <w:t xml:space="preserve">¥</w:t>
      </w:r>
      <w:r>
        <w:rPr>
          <w:rFonts w:ascii="SimSun" w:hAnsi="SimSun" w:eastAsia="SimSun" w:cs="SimSun"/>
          <w:color w:val="000000"/>
          <w:sz w:val="21"/>
        </w:rPr>
        <w:t xml:space="preserve">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（3）专业工程暂估价金额：</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 (</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（4）暂列金额：</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 ((</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w:t>
      </w:r>
      <w:r>
        <w:rPr>
          <w:rFonts w:ascii="SimSun" w:hAnsi="SimSun" w:eastAsia="SimSun" w:cs="SimSun"/>
          <w:color w:val="000000"/>
          <w:sz w:val="21"/>
          <w:u w:val="single"/>
        </w:rPr>
        <w:t xml:space="preserve">固定综合单价合同</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承包人项目经理：。</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六、合同文件构成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（1）中标通知书（如果有）；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（2）投标函及其附录（如果有）；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（3）专用合同条款及其附件；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（4）通用合同条款；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（5）技术标准和要求；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（6）图纸；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（7）已标价工程量清单或预算书；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（8）其他合同文件。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2.承包人承诺按照法律规定及合同约定组织完成工程施工，确保工程质量和安全，不进行转包及违法分包，并在缺陷责任期及保修期内承担相应的工程维修责任。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八、词语含义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九、签订时间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本合同于年月日签订。</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十、签订地点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SimSun" w:hAnsi="SimSun" w:eastAsia="SimSun" w:cs="SimSun"/>
          <w:color w:val="000000"/>
          <w:sz w:val="21"/>
          <w:u w:val="single"/>
        </w:rPr>
        <w:t xml:space="preserve">        </w:t>
      </w:r>
      <w:r>
        <w:rPr>
          <w:rFonts w:ascii="SimSun" w:hAnsi="SimSun" w:eastAsia="SimSun" w:cs="SimSun"/>
          <w:color w:val="000000"/>
          <w:sz w:val="21"/>
        </w:rPr>
        <w:t xml:space="preserve">签订。</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十一、补充协议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十二、合同生效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SimSun" w:hAnsi="SimSun" w:eastAsia="SimSun" w:cs="SimSun"/>
          <w:color w:val="000000"/>
          <w:sz w:val="21"/>
          <w:u w:val="single"/>
        </w:rPr>
        <w:t xml:space="preserve">    双方盖章、签字后</w:t>
      </w:r>
      <w:r>
        <w:rPr>
          <w:rFonts w:ascii="SimSun" w:hAnsi="SimSun" w:eastAsia="SimSun" w:cs="SimSun"/>
          <w:color w:val="000000"/>
          <w:sz w:val="21"/>
        </w:rPr>
        <w:t xml:space="preserve">生效。</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十三、合同份数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color w:val="000000"/>
          <w:sz w:val="21"/>
          <w:u w:val="single"/>
        </w:rPr>
        <w:t xml:space="preserve">十</w:t>
      </w:r>
      <w:r>
        <w:rPr>
          <w:rFonts w:ascii="SimSun" w:hAnsi="SimSun" w:eastAsia="SimSun" w:cs="SimSun"/>
          <w:color w:val="000000"/>
          <w:sz w:val="21"/>
        </w:rPr>
        <w:t xml:space="preserve">份，均具有同等法律效力，发包人执</w:t>
      </w:r>
      <w:r>
        <w:rPr>
          <w:rFonts w:ascii="SimSun" w:hAnsi="SimSun" w:eastAsia="SimSun" w:cs="SimSun"/>
          <w:color w:val="000000"/>
          <w:sz w:val="21"/>
          <w:u w:val="single"/>
        </w:rPr>
        <w:t xml:space="preserve">五</w:t>
      </w:r>
      <w:r>
        <w:rPr>
          <w:rFonts w:ascii="SimSun" w:hAnsi="SimSun" w:eastAsia="SimSun" w:cs="SimSun"/>
          <w:color w:val="000000"/>
          <w:sz w:val="21"/>
        </w:rPr>
        <w:t xml:space="preserve">份，承包人执</w:t>
      </w:r>
      <w:r>
        <w:rPr>
          <w:rFonts w:ascii="SimSun" w:hAnsi="SimSun" w:eastAsia="SimSun" w:cs="SimSun"/>
          <w:color w:val="000000"/>
          <w:sz w:val="21"/>
          <w:u w:val="single"/>
        </w:rPr>
        <w:t xml:space="preserve">五</w:t>
      </w:r>
      <w:r>
        <w:rPr>
          <w:rFonts w:ascii="SimSun" w:hAnsi="SimSun" w:eastAsia="SimSun" w:cs="SimSun"/>
          <w:color w:val="000000"/>
          <w:sz w:val="21"/>
        </w:rPr>
        <w:t xml:space="preserve">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4410" w:leader="none"/>
          <w:tab w:val="left" w:pos="4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                      承包人：  (公章)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tabs>
          <w:tab w:val="left" w:pos="4410" w:leader="none"/>
          <w:tab w:val="left" w:pos="4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法定代表人或其委托代理人：法定代表人或其委托代理人：</w:t>
      </w:r>
      <w:r/>
    </w:p>
    <w:p>
      <w:pPr>
        <w:ind w:left="0" w:right="0" w:firstLine="0"/>
        <w:jc w:val="both"/>
        <w:spacing w:before="0" w:after="0" w:line="85" w:lineRule="atLeast"/>
        <w:tabs>
          <w:tab w:val="left" w:pos="4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tabs>
          <w:tab w:val="left" w:pos="4410" w:leader="none"/>
          <w:tab w:val="left" w:pos="4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社会统一征信代码：社会统一征信代码：</w:t>
      </w:r>
      <w:r>
        <w:rPr>
          <w:rFonts w:ascii="SimSun" w:hAnsi="SimSun" w:eastAsia="SimSun" w:cs="SimSun"/>
          <w:color w:val="000000"/>
          <w:sz w:val="21"/>
          <w:u w:val="single"/>
        </w:rPr>
      </w:r>
      <w:r/>
    </w:p>
    <w:p>
      <w:pPr>
        <w:ind w:left="5520" w:right="0" w:hanging="55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地址：地址：</w:t>
      </w:r>
      <w:r/>
    </w:p>
    <w:p>
      <w:pPr>
        <w:ind w:left="5520" w:right="0" w:hanging="55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w:t>
      </w:r>
      <w:r>
        <w:rPr>
          <w:rFonts w:ascii="SimSun" w:hAnsi="SimSun" w:eastAsia="SimSun" w:cs="SimSun"/>
          <w:color w:val="000000"/>
          <w:sz w:val="21"/>
        </w:rPr>
        <w:t xml:space="preserve">       邮政编码：</w:t>
      </w:r>
      <w:r>
        <w:rPr>
          <w:rFonts w:ascii="SimSun" w:hAnsi="SimSun" w:eastAsia="SimSun" w:cs="SimSun"/>
          <w:color w:val="000000"/>
          <w:sz w:val="21"/>
          <w:u w:val="single"/>
        </w:rPr>
        <w:t xml:space="preserve">   </w:t>
      </w:r>
      <w:r/>
    </w:p>
    <w:p>
      <w:pPr>
        <w:ind w:left="0" w:right="0" w:firstLine="0"/>
        <w:jc w:val="both"/>
        <w:spacing w:before="0" w:after="0" w:line="85" w:lineRule="atLeast"/>
        <w:tabs>
          <w:tab w:val="left" w:pos="43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       法定代表人：</w:t>
      </w:r>
      <w:r>
        <w:rPr>
          <w:rFonts w:ascii="SimSun" w:hAnsi="SimSun" w:eastAsia="SimSun" w:cs="SimSun"/>
          <w:color w:val="000000"/>
          <w:sz w:val="21"/>
          <w:u w:val="single"/>
        </w:rPr>
      </w:r>
      <w:r/>
    </w:p>
    <w:p>
      <w:pPr>
        <w:ind w:left="0" w:right="0" w:firstLine="0"/>
        <w:jc w:val="both"/>
        <w:spacing w:before="0" w:after="0" w:line="85" w:lineRule="atLeast"/>
        <w:tabs>
          <w:tab w:val="left" w:pos="43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委托代理人：委托代理人：</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传真：传真：</w:t>
      </w:r>
      <w:r>
        <w:rPr>
          <w:rFonts w:ascii="SimSun" w:hAnsi="SimSun" w:eastAsia="SimSun" w:cs="SimSun"/>
          <w:color w:val="000000"/>
          <w:sz w:val="21"/>
          <w:u w:val="single"/>
        </w:rPr>
      </w:r>
      <w:r/>
    </w:p>
    <w:p>
      <w:pPr>
        <w:ind w:left="0" w:right="0" w:firstLine="0"/>
        <w:jc w:val="both"/>
        <w:spacing w:before="0" w:after="0" w:line="85" w:lineRule="atLeast"/>
        <w:tabs>
          <w:tab w:val="left" w:pos="43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 电子信箱：</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rPr>
          <w:rFonts w:ascii="SimSun" w:hAnsi="SimSun" w:eastAsia="SimSun" w:cs="SimSun"/>
          <w:color w:val="000000"/>
          <w:sz w:val="21"/>
        </w:rPr>
        <w:t xml:space="preserve">       开户银行：</w:t>
      </w:r>
      <w:r>
        <w:rPr>
          <w:rFonts w:ascii="SimSun" w:hAnsi="SimSun" w:eastAsia="SimSun" w:cs="SimSun"/>
          <w:color w:val="000000"/>
          <w:sz w:val="21"/>
          <w:u w:val="single"/>
        </w:rPr>
        <w:t xml:space="preserve">                </w:t>
      </w:r>
      <w:r/>
    </w:p>
    <w:p>
      <w:pPr>
        <w:ind w:left="0" w:right="0" w:firstLine="0"/>
        <w:jc w:val="both"/>
        <w:spacing w:before="0" w:after="0" w:line="85" w:lineRule="atLeast"/>
        <w:tabs>
          <w:tab w:val="left" w:pos="43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账号：账号：</w:t>
      </w:r>
      <w:r>
        <w:rPr>
          <w:rFonts w:ascii="SimSun" w:hAnsi="SimSun" w:eastAsia="SimSun" w:cs="SimSun"/>
          <w:color w:val="000000"/>
          <w:sz w:val="21"/>
          <w:u w:val="single"/>
        </w:rPr>
        <w:t xml:space="preserve">                   </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本页以下空白。</w:t>
        <w:br w:type="page" w:clear="all"/>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78" w:right="78"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8"/>
        </w:rPr>
        <w:t xml:space="preserve">第二部分 通用合同条款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按GF—2017—0201建设工程施工合同通用合同条款约定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78" w:right="78"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本页以下空白。</w:t>
        <w:br w:type="page" w:clear="all"/>
      </w:r>
      <w:r/>
    </w:p>
    <w:p>
      <w:pPr>
        <w:ind w:left="78" w:right="78"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8"/>
        </w:rPr>
        <w:t xml:space="preserve">第三部分 专用合同条款</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 一般约定</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词语定义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1.1.1.10其他合同文件包括：</w:t>
      </w:r>
      <w:r>
        <w:rPr>
          <w:rFonts w:ascii="SimSun" w:hAnsi="SimSun" w:eastAsia="SimSun" w:cs="SimSun"/>
          <w:color w:val="000000"/>
          <w:sz w:val="21"/>
          <w:u w:val="single"/>
        </w:rPr>
        <w:t xml:space="preserve">1、招标文件、有关本工程的招标答疑、澄清函、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补充函、承诺书等往来信函；2、 在合同履行过程中经本合同当事人双方签署的相关文件，包括并不限于补充协议、会议纪要、情况说明等</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合同当事人及其他相关方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1.1.2.4监理人：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 设计人：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工程和设备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 作为施工现场组成部分的其他场所包括：</w:t>
      </w:r>
      <w:r>
        <w:rPr>
          <w:rFonts w:ascii="SimSun" w:hAnsi="SimSun" w:eastAsia="SimSun" w:cs="SimSun"/>
          <w:color w:val="000000"/>
          <w:sz w:val="21"/>
          <w:u w:val="single"/>
        </w:rPr>
        <w:t xml:space="preserve"> 按工程实际所需</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 永久占地包括：</w:t>
      </w:r>
      <w:r>
        <w:rPr>
          <w:rFonts w:ascii="SimSun" w:hAnsi="SimSun" w:eastAsia="SimSun" w:cs="SimSun"/>
          <w:color w:val="000000"/>
          <w:sz w:val="21"/>
          <w:u w:val="single"/>
        </w:rPr>
        <w:t xml:space="preserve"> 在本项目规划红线范围内的建设用地</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 临时占地包括：</w:t>
      </w:r>
      <w:r>
        <w:rPr>
          <w:rFonts w:ascii="SimSun" w:hAnsi="SimSun" w:eastAsia="SimSun" w:cs="SimSun"/>
          <w:color w:val="000000"/>
          <w:sz w:val="21"/>
          <w:u w:val="single"/>
        </w:rPr>
        <w:t xml:space="preserve"> 在本项目规划红线范围内或发包人提供的本项目规划红线范围外的临设用地</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1.3法律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适用于合同的其他规范性文件：《中华人民共和国政府采购法》</w:t>
      </w:r>
      <w:r>
        <w:rPr>
          <w:rFonts w:ascii="SimSun" w:hAnsi="SimSun" w:eastAsia="SimSun" w:cs="SimSun"/>
          <w:color w:val="000000"/>
          <w:sz w:val="21"/>
          <w:u w:val="single"/>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工程量清单计价规范》(GB50500-2013)、《房屋建筑与装饰工程工程量计算规范》(GB50854-2013) 等9本工程量计算规范及2014年江苏省建筑与装饰、安装、市政等工程计价定额和2014年《江苏省建设工程费用定额》、其他法律法规以及江苏省和苏州市建设行业主管部门颁</w:t>
      </w:r>
      <w:r>
        <w:rPr>
          <w:rFonts w:ascii="SimSun" w:hAnsi="SimSun" w:eastAsia="SimSun" w:cs="SimSun"/>
          <w:color w:val="000000"/>
          <w:sz w:val="21"/>
          <w:u w:val="single"/>
        </w:rPr>
        <w:t xml:space="preserve">布的相关文件规定，如地方法规与国家法规相抵触，按国家法规执行</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标准和规范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1.4.1适用于工程的标准规范包括：</w:t>
      </w:r>
      <w:r>
        <w:rPr>
          <w:rFonts w:ascii="SimSun" w:hAnsi="SimSun" w:eastAsia="SimSun" w:cs="SimSun"/>
          <w:color w:val="000000"/>
          <w:sz w:val="21"/>
          <w:u w:val="single"/>
        </w:rPr>
        <w:t xml:space="preserve">按设计图纸和国家现行工程施工标准规范以及质量验收标准及规范执行</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发包人提供国外标准、规范的名称：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1.4.3发包人对工程的技术标准和功能要求的特殊要求：</w:t>
      </w:r>
      <w:r>
        <w:rPr>
          <w:rFonts w:ascii="SimSun" w:hAnsi="SimSun" w:eastAsia="SimSun" w:cs="SimSun"/>
          <w:color w:val="000000"/>
          <w:sz w:val="21"/>
          <w:u w:val="single"/>
        </w:rPr>
        <w:t xml:space="preserve">无  </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合同文件的优先顺序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SimSun" w:hAnsi="SimSun" w:eastAsia="SimSun" w:cs="SimSun"/>
          <w:color w:val="000000"/>
          <w:sz w:val="21"/>
          <w:u w:val="single"/>
        </w:rPr>
        <w:t xml:space="preserve">⑴本合同协议书；⑵中标通知书（如有）；⑶双方在合同期内签署的补充协议、备忘录及纪要等；⑷本合同专用条款及其附件；⑸投标函及其附录（如有）等投标文件；⑹本合同通用条款；⑺招标文件、答疑及澄清文件；⑻标准、规范及有关技术文件；⑼图纸；⑽已标价工程量清单；⑾工程报价单或预算书；⑿其他合同文件。上述各项合同文件包括合同当事人就该项合同文件所作出的补充和修改，属于同一类内容的文件，以最新签署的为准并具有优先解释权</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图纸和承包人文件</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图纸的提供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承包人文件</w:t>
      </w:r>
      <w:r/>
    </w:p>
    <w:p>
      <w:pPr>
        <w:ind w:left="0" w:right="0" w:firstLine="56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rPr>
          <w:rFonts w:ascii="SimSun" w:hAnsi="SimSun" w:eastAsia="SimSun" w:cs="SimSun"/>
          <w:color w:val="000000"/>
          <w:sz w:val="21"/>
          <w:u w:val="single"/>
        </w:rPr>
        <w:t xml:space="preserve">根据项目的工期总目标编制项目总进度计划，并在开工前一周提供施工进度总计划、施工组织设计和材料（设备）进场计划表等资料。工程的进展不符合进度计划时，发包人及监理单位可要求承包人修改计划。除本合同另有规定外，任何计划的修改都不得造成完成期限的延误，因进度计划修改造成的费用增加由承包人承担</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00"/>
          <w:sz w:val="21"/>
          <w:u w:val="single"/>
        </w:rPr>
        <w:t xml:space="preserve">按发包人要求</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00"/>
          <w:sz w:val="21"/>
          <w:u w:val="single"/>
        </w:rPr>
        <w:t xml:space="preserve">按发包人要求</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00"/>
          <w:sz w:val="21"/>
          <w:u w:val="single"/>
        </w:rPr>
        <w:t xml:space="preserve">收到后7天内</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现场图纸准备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00"/>
          <w:sz w:val="21"/>
          <w:u w:val="single"/>
        </w:rPr>
        <w:t xml:space="preserve">按工程实际所需</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联络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1.7.1发包人和承包人应当在</w:t>
      </w:r>
      <w:r>
        <w:rPr>
          <w:rFonts w:ascii="SimSun" w:hAnsi="SimSun" w:eastAsia="SimSun" w:cs="SimSun"/>
          <w:color w:val="000000"/>
          <w:sz w:val="21"/>
          <w:u w:val="single"/>
        </w:rPr>
        <w:t xml:space="preserve">7 </w:t>
      </w:r>
      <w:r>
        <w:rPr>
          <w:rFonts w:ascii="SimSun" w:hAnsi="SimSun" w:eastAsia="SimSun" w:cs="SimSun"/>
          <w:color w:val="000000"/>
          <w:sz w:val="21"/>
        </w:rPr>
        <w:t xml:space="preserve">天内将与合同有关的通知、批准、证明、证书、指示、指令、要求、请求、同意、意见、确定和决定等书面函件送达对方当事人。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发包人接收文件的地点：</w:t>
      </w:r>
      <w:r>
        <w:rPr>
          <w:rFonts w:ascii="SimSun" w:hAnsi="SimSun" w:eastAsia="SimSun" w:cs="SimSun"/>
          <w:color w:val="000000"/>
          <w:sz w:val="21"/>
          <w:u w:val="single"/>
        </w:rPr>
        <w:t xml:space="preserve">工地现场发包人办公室</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SimSun" w:hAnsi="SimSun" w:eastAsia="SimSun" w:cs="SimSun"/>
          <w:color w:val="000000"/>
          <w:sz w:val="21"/>
          <w:u w:val="single"/>
        </w:rPr>
        <w:t xml:space="preserve">发包人代表或其授权人</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00"/>
          <w:sz w:val="21"/>
          <w:u w:val="single"/>
        </w:rPr>
        <w:t xml:space="preserve">工地现场项目部办公室</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SimSun" w:hAnsi="SimSun" w:eastAsia="SimSun" w:cs="SimSun"/>
          <w:color w:val="000000"/>
          <w:sz w:val="21"/>
          <w:u w:val="single"/>
        </w:rPr>
        <w:t xml:space="preserve">承包人项目经理或其授权人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00"/>
          <w:sz w:val="21"/>
          <w:u w:val="single"/>
        </w:rPr>
        <w:t xml:space="preserve">工地现场监理办公室</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SimSun" w:hAnsi="SimSun" w:eastAsia="SimSun" w:cs="SimSun"/>
          <w:color w:val="000000"/>
          <w:sz w:val="21"/>
          <w:u w:val="single"/>
        </w:rPr>
        <w:t xml:space="preserve">总监理工程师或其授权人</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 交通运输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.10.1 出入现场的权利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rPr>
          <w:rFonts w:ascii="SimSun" w:hAnsi="SimSun" w:eastAsia="SimSun" w:cs="SimSun"/>
          <w:color w:val="000000"/>
          <w:sz w:val="21"/>
          <w:u w:val="single"/>
        </w:rPr>
        <w:t xml:space="preserve">按通用条款</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.10.3 场内交通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color w:val="000000"/>
          <w:sz w:val="21"/>
          <w:u w:val="single"/>
        </w:rPr>
        <w:t xml:space="preserve">按承包人施工现场平面布置图所示</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color w:val="000000"/>
          <w:sz w:val="21"/>
          <w:u w:val="single"/>
        </w:rPr>
        <w:t xml:space="preserve">在开工前7天提供三通一平及施工现场与场外道路的运输通道，工地现场内的临时道路及其他交通临时设施由承包人自行负责</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1.10.4超大件和超重件的运输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SimSun" w:hAnsi="SimSun" w:eastAsia="SimSun" w:cs="SimSun"/>
          <w:color w:val="000000"/>
          <w:sz w:val="21"/>
          <w:u w:val="single"/>
        </w:rPr>
        <w:t xml:space="preserve"> 承包人 </w:t>
      </w:r>
      <w:r>
        <w:rPr>
          <w:rFonts w:ascii="SimSun" w:hAnsi="SimSun" w:eastAsia="SimSun" w:cs="SimSun"/>
          <w:color w:val="000000"/>
          <w:sz w:val="21"/>
        </w:rPr>
        <w:t xml:space="preserve">承担。</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知识产权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1"/>
          <w:u w:val="single"/>
        </w:rPr>
        <w:t xml:space="preserve">发包人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color w:val="000000"/>
          <w:sz w:val="21"/>
          <w:u w:val="single"/>
        </w:rPr>
        <w:t xml:space="preserve"> 承包人可以为实现合同目的复制使用此类文件，但不能用于与合同无关的其他事项，更不得提供给任何第三方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 关于承包人为实施工程所编制文件的著作权的归属：</w:t>
      </w:r>
      <w:r>
        <w:rPr>
          <w:rFonts w:ascii="SimSun" w:hAnsi="SimSun" w:eastAsia="SimSun" w:cs="SimSun"/>
          <w:color w:val="000000"/>
          <w:sz w:val="21"/>
          <w:u w:val="single"/>
        </w:rPr>
        <w:t xml:space="preserve">发包人与承包人</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color w:val="000000"/>
          <w:sz w:val="21"/>
          <w:u w:val="single"/>
        </w:rPr>
        <w:t xml:space="preserve">无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 承包人在施工过程中所采用的专利、专有技术、技术秘密的使用费的承担方式：</w:t>
      </w:r>
      <w:r>
        <w:rPr>
          <w:rFonts w:ascii="SimSun" w:hAnsi="SimSun" w:eastAsia="SimSun" w:cs="SimSun"/>
          <w:color w:val="000000"/>
          <w:sz w:val="21"/>
          <w:u w:val="single"/>
        </w:rPr>
        <w:t xml:space="preserve">如产生费用，由双方另行协商    </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none"/>
        </w:rPr>
        <w:t xml:space="preserve">. 发包人</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发包人代表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发包人代表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color w:val="000000"/>
          <w:sz w:val="21"/>
          <w:u w:val="single"/>
        </w:rPr>
        <w:t xml:space="preserve">负责质量、进度、安全及协调工作；负责办理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变更、洽商、工程结算等的内部审批手续</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施工现场、施工条件和基础资料的提供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提供施工现场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最迟于正式开工日期的7天前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提供施工条件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(1)施工场地具备施工条件的要求及完成的时间：</w:t>
      </w:r>
      <w:r>
        <w:rPr>
          <w:rFonts w:ascii="SimSun" w:hAnsi="SimSun" w:eastAsia="SimSun" w:cs="SimSun"/>
          <w:color w:val="000000"/>
          <w:sz w:val="21"/>
          <w:u w:val="single"/>
        </w:rPr>
        <w:t xml:space="preserve">  在开工前14天场地平整具备施工条件。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(2)将施工所需的水、电、电讯线路接至施工场地的时间、地点和供应要求：</w:t>
      </w:r>
      <w:r>
        <w:rPr>
          <w:rFonts w:ascii="SimSun" w:hAnsi="SimSun" w:eastAsia="SimSun" w:cs="SimSun"/>
          <w:color w:val="000000"/>
          <w:sz w:val="21"/>
          <w:u w:val="single"/>
        </w:rPr>
        <w:t xml:space="preserve">开工前14天将施工用水、电力（2*500KVA）等施工所必需的条件接至施工现场内.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(3)施工场地与公共道路的通道开通时间和要求：</w:t>
      </w:r>
      <w:r>
        <w:rPr>
          <w:rFonts w:ascii="SimSun" w:hAnsi="SimSun" w:eastAsia="SimSun" w:cs="SimSun"/>
          <w:color w:val="000000"/>
          <w:sz w:val="21"/>
          <w:u w:val="single"/>
        </w:rPr>
        <w:t xml:space="preserve"> 在开工前14天保证向承包人提供正常施工所需要的进入施工现场的交通条件。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(4)工程地质和地下管线资料的提供时间：</w:t>
      </w:r>
      <w:r>
        <w:rPr>
          <w:rFonts w:ascii="SimSun" w:hAnsi="SimSun" w:eastAsia="SimSun" w:cs="SimSun"/>
          <w:color w:val="000000"/>
          <w:sz w:val="21"/>
          <w:u w:val="single"/>
        </w:rPr>
        <w:t xml:space="preserve">工程地质勘察报告由发包人提供，地下管线资料由发包人提供、承包人协助收集。由发包人负责在开工前14天提供书面资料并现场进行交接并对资料的真实性、准确性负责。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(5)由发包人办理的施工所需证件、批件的名称和完成时间：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(6)水准点与座标控制点交验要求：</w:t>
      </w:r>
      <w:r>
        <w:rPr>
          <w:rFonts w:ascii="SimSun" w:hAnsi="SimSun" w:eastAsia="SimSun" w:cs="SimSun"/>
          <w:color w:val="000000"/>
          <w:sz w:val="21"/>
          <w:u w:val="single"/>
        </w:rPr>
        <w:t xml:space="preserve">   正式开工前7天，现场交接。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(7)图纸会审和设计交底时间：</w:t>
      </w:r>
      <w:r>
        <w:rPr>
          <w:rFonts w:ascii="SimSun" w:hAnsi="SimSun" w:eastAsia="SimSun" w:cs="SimSun"/>
          <w:color w:val="000000"/>
          <w:sz w:val="21"/>
          <w:u w:val="single"/>
        </w:rPr>
        <w:t xml:space="preserve">         正式开工前一周。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(8)协调处理施工场地周围地下管线和邻近建筑物、构筑物(含文物保护建筑)、高压线、古树名木的保护工作：</w:t>
      </w:r>
      <w:r>
        <w:rPr>
          <w:rFonts w:ascii="SimSun" w:hAnsi="SimSun" w:eastAsia="SimSun" w:cs="SimSun"/>
          <w:color w:val="000000"/>
          <w:sz w:val="21"/>
          <w:u w:val="single"/>
        </w:rPr>
        <w:t xml:space="preserve">由承包人负责保护工作，保护费用支出由发包人承担。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⑼双方约定发包人应做的其他工作：</w:t>
      </w:r>
      <w:r>
        <w:rPr>
          <w:rFonts w:ascii="SimSun" w:hAnsi="SimSun" w:eastAsia="SimSun" w:cs="SimSun"/>
          <w:color w:val="000000"/>
          <w:sz w:val="21"/>
          <w:u w:val="single"/>
        </w:rPr>
        <w:t xml:space="preserve">如涉及，双方现场协商。</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资金来源证明及支付担保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否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无   </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 承包人</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承包人的一般义务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（9）承包人提交的竣工资料的内容：</w:t>
      </w:r>
      <w:r>
        <w:rPr>
          <w:rFonts w:ascii="SimSun" w:hAnsi="SimSun" w:eastAsia="SimSun" w:cs="SimSun"/>
          <w:color w:val="000000"/>
          <w:sz w:val="21"/>
          <w:u w:val="single"/>
        </w:rPr>
        <w:t xml:space="preserve">  竣工资料需符合苏州市建设工程档案归档规范要求</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color w:val="000000"/>
          <w:sz w:val="21"/>
          <w:u w:val="single"/>
        </w:rPr>
        <w:t xml:space="preserve">   不少于2套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00"/>
          <w:sz w:val="21"/>
          <w:u w:val="single"/>
        </w:rPr>
        <w:t xml:space="preserve">  承包人承担</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00"/>
          <w:sz w:val="21"/>
          <w:u w:val="single"/>
        </w:rPr>
        <w:t xml:space="preserve"> 竣工验收后30日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SimSun" w:hAnsi="SimSun" w:eastAsia="SimSun" w:cs="SimSun"/>
          <w:color w:val="000000"/>
          <w:sz w:val="21"/>
          <w:u w:val="single"/>
        </w:rPr>
        <w:t xml:space="preserve"> 提供符合苏州市建设工程档案归档规范要求及苏州市城建档案馆要求的竣工图纸及资料</w:t>
      </w:r>
      <w:r>
        <w:rPr>
          <w:rFonts w:ascii="SimSun" w:hAnsi="SimSun" w:eastAsia="SimSun" w:cs="SimSun"/>
          <w:color w:val="000000"/>
          <w:sz w:val="21"/>
        </w:rPr>
        <w:t xml:space="preserve">。</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承包人应履行的其他义务：</w:t>
      </w:r>
      <w:r/>
    </w:p>
    <w:p>
      <w:pPr>
        <w:ind w:left="-99" w:right="0" w:firstLine="60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①应提供计划、报表的名称及完成时间：</w:t>
      </w:r>
      <w:r>
        <w:rPr>
          <w:rFonts w:ascii="SimSun" w:hAnsi="SimSun" w:eastAsia="SimSun" w:cs="SimSun"/>
          <w:color w:val="000000"/>
          <w:sz w:val="21"/>
          <w:u w:val="single"/>
        </w:rPr>
        <w:t xml:space="preserve">开工前一周须提供工程进度报表。</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②承担施工安全保卫工作及非夜间施工照明的责任和要求：</w:t>
      </w:r>
      <w:r>
        <w:rPr>
          <w:rFonts w:ascii="SimSun" w:hAnsi="SimSun" w:eastAsia="SimSun" w:cs="SimSun"/>
          <w:color w:val="000000"/>
          <w:sz w:val="21"/>
          <w:u w:val="single"/>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③需承包人办理的有关施工场地交通、环卫和施工噪音管理等手续：</w:t>
      </w:r>
      <w:r>
        <w:rPr>
          <w:rFonts w:ascii="SimSun" w:hAnsi="SimSun" w:eastAsia="SimSun" w:cs="SimSun"/>
          <w:color w:val="000000"/>
          <w:sz w:val="21"/>
          <w:u w:val="single"/>
        </w:rPr>
        <w:t xml:space="preserve">环保、环卫</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等相关手续由承包人办理，费用由承包人承担。</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④已完工程成品保护的特殊要求及费用承担：</w:t>
      </w:r>
      <w:r>
        <w:rPr>
          <w:rFonts w:ascii="SimSun" w:hAnsi="SimSun" w:eastAsia="SimSun" w:cs="SimSun"/>
          <w:color w:val="000000"/>
          <w:sz w:val="21"/>
          <w:u w:val="single"/>
        </w:rPr>
        <w:t xml:space="preserve">工程交付前成品保护由承包人负责</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，费用由承包人承担。</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⑤施工场地周围地下管线和邻近建筑物、构筑物(含文物保护建筑)、古树名木的</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保护要求及费用承担：</w:t>
      </w:r>
      <w:r>
        <w:rPr>
          <w:rFonts w:ascii="SimSun" w:hAnsi="SimSun" w:eastAsia="SimSun" w:cs="SimSun"/>
          <w:color w:val="000000"/>
          <w:sz w:val="21"/>
          <w:u w:val="single"/>
        </w:rPr>
        <w:t xml:space="preserve">对施工场地周围所有管网、管线、排水、道路及邻近建筑物承包人负责观测，并充分考虑桩基施工时的震动对其影响，若发生问题承包人要采取补救措施，费用承包人承担。</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⑥施工场地清洁卫生的要求：</w:t>
      </w:r>
      <w:r>
        <w:rPr>
          <w:rFonts w:ascii="SimSun" w:hAnsi="SimSun" w:eastAsia="SimSun" w:cs="SimSun"/>
          <w:color w:val="000000"/>
          <w:sz w:val="21"/>
          <w:u w:val="single"/>
        </w:rPr>
        <w:t xml:space="preserve">保证施工现场清洁卫生符合有关规定，达到现场工地要求。</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⑦双方约定承包人应做的其它工作：</w:t>
      </w:r>
      <w:r>
        <w:rPr>
          <w:rFonts w:ascii="SimSun" w:hAnsi="SimSun" w:eastAsia="SimSun" w:cs="SimSun"/>
          <w:color w:val="000000"/>
          <w:sz w:val="21"/>
          <w:u w:val="single"/>
        </w:rPr>
        <w:t xml:space="preserve">必须严格执行苏州市的施工场地管理规定以及发包方的场地管理要求；严格执行发包人施工中变更、签证的规定；有配合发包人做好资料归档、决算审计的义务，及时处理好现场事务。</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承包人对项目经理的授权范围如下：。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关于项目经理每月在施工现场的时间要求：</w:t>
      </w:r>
      <w:r>
        <w:rPr>
          <w:rFonts w:ascii="SimSun" w:hAnsi="SimSun" w:eastAsia="SimSun" w:cs="SimSun"/>
          <w:color w:val="000000"/>
          <w:sz w:val="21"/>
          <w:u w:val="single"/>
        </w:rPr>
        <w:t xml:space="preserve">项目经理在工地时间每月不少于22天，如有特殊原因请假的，应书面报请建设单位批准，但在工地时间总天数不得少于约定工期的70%</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承包人未提交劳动合同，以及没有为项目经理缴纳社会保险证明的违约责任：</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105"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项目经理未经批准，擅自离开施工现场的违约责任：</w:t>
      </w:r>
      <w:r>
        <w:rPr>
          <w:rFonts w:ascii="SimSun" w:hAnsi="SimSun" w:eastAsia="SimSun" w:cs="SimSun"/>
          <w:color w:val="000000"/>
          <w:sz w:val="21"/>
          <w:u w:val="single"/>
        </w:rPr>
        <w:t xml:space="preserve"> 承包人必须支付发包人2000元/次的违约金，直至合同终止。该款项扣除时无需经承包人同意，由发包人直接在履约保证金函或工程款中扣除，工程结束不返还</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承包人擅自更换项目经理的违约责任：</w:t>
      </w:r>
      <w:r>
        <w:rPr>
          <w:rFonts w:ascii="SimSun" w:hAnsi="SimSun" w:eastAsia="SimSun" w:cs="SimSun"/>
          <w:color w:val="000000"/>
          <w:sz w:val="21"/>
          <w:u w:val="single"/>
        </w:rPr>
        <w:t xml:space="preserve">承包人必须支付发包人5万元/次的违约金，直至合同终止。该款项扣除时无需经承包人同意，由发包人直接在履约保证金函或工程款中扣除，工程结束不返还</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3.2.4 承包人无正当理由拒绝更换项目经理的违约责任：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承包人人员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承包人提交项目管理机构及施工现场管理人员安排报告的期限：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承包人无正当理由拒绝撤换主要施工管理人员的违约责任：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承包人主要施工管理人员离开施工现场的批准要求：</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3.3.5承包人擅自更换主要施工管理人员的违约责任：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SimSun" w:hAnsi="SimSun" w:eastAsia="SimSun" w:cs="SimSun"/>
          <w:color w:val="000000"/>
          <w:sz w:val="21"/>
          <w:u w:val="single"/>
        </w:rPr>
        <w:t xml:space="preserve">承包人向发包人支付违约金1500元/次/天，承包人同时承担由此造成的所有损失和不利影响的责任。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承包人除项目经理、技术负责人以外的主要施工管理人员擅自离开施工现场的违约责任：</w:t>
      </w:r>
      <w:r>
        <w:rPr>
          <w:rFonts w:ascii="SimSun" w:hAnsi="SimSun" w:eastAsia="SimSun" w:cs="SimSun"/>
          <w:color w:val="000000"/>
          <w:sz w:val="21"/>
          <w:u w:val="single"/>
        </w:rPr>
        <w:t xml:space="preserve">承包人向发包人支付违约金1000元/次/天，承包人同时承担由此造成的所有损失和不利影响的责任。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承包人必须按发包人的现场管理办法执行考勤制度，并接受相关处罚要求</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.5 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.5.1 分包的一般约定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SimSun" w:hAnsi="SimSun" w:eastAsia="SimSun" w:cs="SimSun"/>
          <w:color w:val="000000"/>
          <w:sz w:val="21"/>
          <w:u w:val="single"/>
        </w:rPr>
        <w:t xml:space="preserve">未经发包人同意，承包人不得将本工程的任何一部分分包</w:t>
      </w:r>
      <w:r>
        <w:rPr>
          <w:rFonts w:ascii="SimSun" w:hAnsi="SimSun" w:eastAsia="SimSun" w:cs="SimSun"/>
          <w:color w:val="000000"/>
          <w:sz w:val="21"/>
        </w:rPr>
        <w:t xml:space="preserve">。</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color w:val="000000"/>
          <w:sz w:val="21"/>
          <w:u w:val="single"/>
        </w:rPr>
        <w:t xml:space="preserve">按现行相关文件规定执行</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w:t>
      </w:r>
      <w:r>
        <w:rPr>
          <w:rFonts w:ascii="SimSun" w:hAnsi="SimSun" w:eastAsia="SimSun" w:cs="SimSun"/>
          <w:color w:val="000000"/>
          <w:sz w:val="21"/>
          <w:u w:val="none"/>
        </w:rPr>
        <w:t xml:space="preserve">.5.2分包的确定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SimSun" w:hAnsi="SimSun" w:eastAsia="SimSun" w:cs="SimSun"/>
          <w:color w:val="000000"/>
          <w:sz w:val="21"/>
          <w:u w:val="single"/>
        </w:rPr>
        <w:t xml:space="preserve">                               等建筑法允许分包的专业工程</w:t>
      </w:r>
      <w:r>
        <w:rPr>
          <w:rFonts w:ascii="SimSun" w:hAnsi="SimSun" w:eastAsia="SimSun" w:cs="SimSun"/>
          <w:color w:val="000000"/>
          <w:sz w:val="21"/>
        </w:rPr>
        <w:t xml:space="preserve">。</w:t>
      </w:r>
      <w:r/>
    </w:p>
    <w:p>
      <w:pPr>
        <w:ind w:left="0"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 本工程不得转包或未经发包人书面认可不得分包，一经发现有此情况作违约处理，违约金为转包或分包项目的造价金额，发包人有权终止合同，并要求承包人赔偿相应损失。特殊专业分包必须合法分包，工程分包前须征得发包人书面意见并符合有关分包规定，分包合同需送吴中区住建局备案，分包合同不能解除承包人任何义务与责任，分包人的任何违约或疏忽均视为承包人的违约或疏忽</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 分包合同价款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color w:val="000000"/>
          <w:sz w:val="21"/>
          <w:u w:val="single"/>
        </w:rPr>
        <w:t xml:space="preserve">分包合同价款由承包人与分包人结算，未经承包人同意，发包人不得向分包人支付分包工程价款 </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工程照管与成品、半成品保护</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 承包人进场施工至完工工程移交给发包人 </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履约担保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SimSun" w:hAnsi="SimSun" w:eastAsia="SimSun" w:cs="SimSun"/>
          <w:color w:val="000000"/>
          <w:sz w:val="21"/>
          <w:u w:val="single"/>
        </w:rPr>
        <w:t xml:space="preserve">  否</w:t>
      </w:r>
      <w:r>
        <w:rPr>
          <w:rFonts w:ascii="SimSun" w:hAnsi="SimSun" w:eastAsia="SimSun" w:cs="SimSun"/>
          <w:color w:val="000000"/>
          <w:sz w:val="21"/>
        </w:rPr>
        <w:t xml:space="preserve">。</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承包人提供履约担保的形式、金额及期限的：</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1"/>
          <w:u w:val="none"/>
        </w:rPr>
        <w:t xml:space="preserve">. 监</w:t>
      </w:r>
      <w:r>
        <w:rPr>
          <w:rFonts w:ascii="SimSun" w:hAnsi="SimSun" w:eastAsia="SimSun" w:cs="SimSun"/>
          <w:color w:val="000000"/>
          <w:sz w:val="21"/>
        </w:rPr>
        <w:t xml:space="preserve">理人</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00"/>
          <w:sz w:val="21"/>
          <w:u w:val="single"/>
        </w:rPr>
        <w:t xml:space="preserve">  详见本工程监理合同</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color w:val="000000"/>
          <w:sz w:val="21"/>
          <w:u w:val="single"/>
        </w:rPr>
        <w:t xml:space="preserve">  发包人委托的职权：施工期间的“五控”、“三管”、“一协调”。需要取得发包人批准才能行使的职权：A、同时担任多个项目的总监；B、调整批准的监理规划；C、调换总监代表或主要专业监理工程师；D、签发开、停工令；E、处理施工索赔问题，审批工期延长；F、审批工程变更的费用和工期费用。但任何工程变更、价款调整等均须按发包人方的制度流程办理，经有关各方共同审核签字和盖章后才生效 </w:t>
      </w:r>
      <w:r>
        <w:rPr>
          <w:rFonts w:ascii="SimSun" w:hAnsi="SimSun" w:eastAsia="SimSun" w:cs="SimSun"/>
          <w:color w:val="000000"/>
          <w:sz w:val="21"/>
        </w:rPr>
        <w:t xml:space="preserve">。 </w:t>
      </w:r>
      <w:r/>
    </w:p>
    <w:p>
      <w:pPr>
        <w:ind w:left="0"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color w:val="000000"/>
          <w:sz w:val="21"/>
          <w:u w:val="single"/>
        </w:rPr>
        <w:t xml:space="preserve"> 承包人应积极配合向监理人提供施工现场的办公用房和生活场所，其费用已包含在投标报价中</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监理人员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商定或确定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1"/>
          <w:u w:val="none"/>
        </w:rPr>
        <w:t xml:space="preserve">. 工程质量</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质量要求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1"/>
          <w:u w:val="none"/>
        </w:rPr>
        <w:t xml:space="preserve">.1.1 特殊质量标准和要求：。</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隐蔽工程检查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5.3.2承包人提前通知监理人隐蔽工程检查的期限的约定：</w:t>
      </w:r>
      <w:r>
        <w:rPr>
          <w:rFonts w:ascii="SimSun" w:hAnsi="SimSun" w:eastAsia="SimSun" w:cs="SimSun"/>
          <w:color w:val="000000"/>
          <w:sz w:val="21"/>
          <w:u w:val="single"/>
        </w:rPr>
        <w:t xml:space="preserve">按有关施工验收规范以及监理细则执行</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SimSun" w:hAnsi="SimSun" w:eastAsia="SimSun" w:cs="SimSun"/>
          <w:color w:val="000000"/>
          <w:sz w:val="21"/>
          <w:u w:val="single"/>
        </w:rPr>
        <w:t xml:space="preserve"> 24 </w:t>
      </w:r>
      <w:r>
        <w:rPr>
          <w:rFonts w:ascii="SimSun" w:hAnsi="SimSun" w:eastAsia="SimSun" w:cs="SimSun"/>
          <w:color w:val="000000"/>
          <w:sz w:val="21"/>
        </w:rPr>
        <w:t xml:space="preserve">小时提交书面延期要求。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48</w:t>
      </w:r>
      <w:r>
        <w:rPr>
          <w:rFonts w:ascii="SimSun" w:hAnsi="SimSun" w:eastAsia="SimSun" w:cs="SimSun"/>
          <w:color w:val="000000"/>
          <w:sz w:val="21"/>
        </w:rPr>
        <w:t xml:space="preserve">小时。</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安全文明施工与环境保护</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项目安全生产的达标目标及相应事项的约定：</w:t>
      </w:r>
      <w:r>
        <w:rPr>
          <w:rFonts w:ascii="SimSun" w:hAnsi="SimSun" w:eastAsia="SimSun" w:cs="SimSun"/>
          <w:color w:val="000000"/>
          <w:sz w:val="21"/>
          <w:u w:val="single"/>
        </w:rPr>
        <w:t xml:space="preserve">按建设部现行的《建设工程安全生产管理条例》的有关规定、《苏州市建筑施工安全监督管理办法》的有关条款以及招标文件中技术标准和要求规定执行。承包人全权负责施工现场的全部安全工作，费用包含在合同总价中。监理和发包人监督执行，安全事故由责任方承担一切后果。承包人应严格按标准组织施工，并同时接受行业人员依法实施的监督检查，采取必要的安全防护措施，消除事故隐患；承包人须有有效的防火措施，承包人负责施工现场的安全及第三方人身安全。发包人对工程事故不负任何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环境保护按苏建招﹝2010﹞10号文《关于在建设工程招标文件和施工合同中增加防止扬尘等要求的通知》：承包人应该严格遵守《苏州市扬尘污染防治管理办法》、《苏州市区建设工地容貌管理实施办法》、《苏州市建筑垃圾（工程渣土）处置管理办法》和《苏州市建筑垃圾（工程渣土）运输管理办法》的规定，各类垃圾清运及处理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本工程不得发生安全事故。若发生安全事故，则视同违约，除按现行有关规定接受处理外，还须另行支付发包人合同违约金、赔偿金计万元/次。该款项无需经过承包人同意由发包人直接从工程款中扣除</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关于治安保卫的特别约定：</w:t>
      </w:r>
      <w:r>
        <w:rPr>
          <w:rFonts w:ascii="SimSun" w:hAnsi="SimSun" w:eastAsia="SimSun" w:cs="SimSun"/>
          <w:color w:val="000000"/>
          <w:sz w:val="21"/>
          <w:u w:val="single"/>
        </w:rPr>
        <w:t xml:space="preserve"> 承包人应保证在整个合同履行过程中不发生民事或刑事案件，并承担施工安全保卫工作及非夜间施工照明的责任和要求：在实施和完成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所有因承包人原因引起的安全事故及责任，由承</w:t>
      </w:r>
      <w:r>
        <w:rPr>
          <w:rFonts w:ascii="SimSun" w:hAnsi="SimSun" w:eastAsia="SimSun" w:cs="SimSun"/>
          <w:color w:val="000000"/>
          <w:sz w:val="21"/>
          <w:u w:val="single"/>
        </w:rPr>
        <w:t xml:space="preserve">包人承担。如承包人未履行上述约定及通用条款相关义务造成工程、财产和人身伤害，由承包人承担责任，赔偿损失及支付发生的费用</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rPr>
          <w:rFonts w:ascii="SimSun" w:hAnsi="SimSun" w:eastAsia="SimSun" w:cs="SimSun"/>
          <w:color w:val="000000"/>
          <w:sz w:val="21"/>
          <w:u w:val="single"/>
        </w:rPr>
        <w:t xml:space="preserve"> 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 文明施工</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⑴承包人按苏州市颁布的有关建设工程施工现场交通、环卫、防噪音等方面的管理规定办理相关手续并承担相应费用，发包人配合办理。承包人应采取一切必要措施，使其施工对于临近单位、人员的干扰、不方便及危险降至最低程度。工程事故引起的一切责任与费用，均由责任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承包人应遵守环境保护按苏建招﹝2010﹞10号文：关于在建设工程招标文件和施工合同中增加防止扬尘等要求的规定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⑵施工保洁：承包人必须文明施工，做好施工区域和周围路面的保洁工作。施工过程中，承包人负责定期将施工场地范围内的建筑垃圾、建筑杂物、生活垃圾等清理干净，并及时清除出施工现场。否则，发包人有权委托其它单位或个人清理，所产生的一切费用由承包人承担，发包人有权从承包人的工程款中直接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⑶文明卫生：承包人必须保护施工区域内外环境，施工人员穿着和行为要文明。在现场要设置定点的垃圾桶，每天生活垃圾必须委托环卫部门及时清理外运，严禁堆放在现场或在吴中区其他地方任意丢弃。承包人应当加强对现场施工人员的管理，教育施工人员讲求职业道德，自觉遵守《市民安全文明守则》及《治安管理条例》，杜绝违法违纪，并不得有赤膊、穿短裤、打群架、随地大小便等不文明行为的发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⑷安全文明施工费由发包人承担，承包人应文明施工，保持工地现场的整洁、有序。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 关于安全文明施工费支付比例和支付期限的约定：</w:t>
      </w:r>
      <w:r>
        <w:rPr>
          <w:rFonts w:ascii="SimSun" w:hAnsi="SimSun" w:eastAsia="SimSun" w:cs="SimSun"/>
          <w:color w:val="000000"/>
          <w:sz w:val="21"/>
          <w:u w:val="single"/>
        </w:rPr>
        <w:t xml:space="preserve">根据施工进度，与工程款同比例、同期限支付 </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工期和进度</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施工组织设计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合同当事人约定的施工组织设计应包括的其他内容：</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7.1.2施工组织设计的提交和修改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color w:val="000000"/>
          <w:sz w:val="21"/>
          <w:u w:val="single"/>
        </w:rPr>
        <w:t xml:space="preserve"> 正式开工前15天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00"/>
          <w:sz w:val="21"/>
          <w:u w:val="single"/>
        </w:rPr>
        <w:t xml:space="preserve">           7天    </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.2 施工进度计划</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 施工进度计划的修订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 收到后7天                               </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开工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00"/>
          <w:sz w:val="21"/>
          <w:u w:val="single"/>
        </w:rPr>
        <w:t xml:space="preserve">承包人在接到开工前15天须提供工程计划二份，分报监理和发包人审核；工程开工后每15天向监理上报进度计划一份；每月25日上报工程进度情况一式三份给监理工程师，经总监审核确认后上报发包人现场代表。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rPr>
          <w:rFonts w:ascii="SimSun" w:hAnsi="SimSun" w:eastAsia="SimSun" w:cs="SimSun"/>
          <w:color w:val="000000"/>
          <w:sz w:val="21"/>
          <w:u w:val="single"/>
        </w:rPr>
        <w:t xml:space="preserve">  见本合同专用条款2.4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rPr>
          <w:rFonts w:ascii="SimSun" w:hAnsi="SimSun" w:eastAsia="SimSun" w:cs="SimSun"/>
          <w:color w:val="000000"/>
          <w:sz w:val="21"/>
          <w:u w:val="single"/>
        </w:rPr>
        <w:t xml:space="preserve">以发包人或监理签发的开工通知为准。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7.3.2开工通知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 60</w:t>
      </w:r>
      <w:r>
        <w:rPr>
          <w:rFonts w:ascii="SimSun" w:hAnsi="SimSun" w:eastAsia="SimSun" w:cs="SimSun"/>
          <w:color w:val="000000"/>
          <w:sz w:val="21"/>
        </w:rPr>
        <w:t xml:space="preserve">天内发出开工通知的，承包人有权提出价格调整要求，或者解除合同。</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测量放线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7.4.1发包人通过监理人向承包人提供测量基准点、基准线和水准点及其书面资料的期限：</w:t>
      </w:r>
      <w:r>
        <w:rPr>
          <w:rFonts w:ascii="SimSun" w:hAnsi="SimSun" w:eastAsia="SimSun" w:cs="SimSun"/>
          <w:color w:val="000000"/>
          <w:sz w:val="21"/>
          <w:u w:val="single"/>
        </w:rPr>
        <w:t xml:space="preserve">    正式开工前7天      </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.5 工期延误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63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（7）因发包人原因导致工期延误的其他情形：</w:t>
      </w:r>
      <w:r>
        <w:rPr>
          <w:rFonts w:ascii="SimSun" w:hAnsi="SimSun" w:eastAsia="SimSun" w:cs="SimSun"/>
          <w:color w:val="000000"/>
          <w:sz w:val="21"/>
          <w:u w:val="single"/>
        </w:rPr>
        <w:t xml:space="preserve">  ①按合同工期实施，非承包人原因引起的工期延误，经发包方同意后应予以顺延工期。因发包人原因导致延期开工的合同价款先调整至开工时间当期，再执行合同条款；②发包人平行发包的其他分包商原因造成的工期延误；③正式供电、供水未能按计划时间节点提供的从而影响消防等相关设备、系统调试的；④一周内非承包人原因停水、停电、停气造成停工累计超过8小时；⑤其他经双方认可的情形(包括专用条款7.6、7.7款影响工期)</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.5.2 因承包人原因导致工期延误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w:t>
      </w:r>
      <w:r>
        <w:rPr>
          <w:rFonts w:ascii="SimSun" w:hAnsi="SimSun" w:eastAsia="SimSun" w:cs="SimSun"/>
          <w:color w:val="000000"/>
          <w:sz w:val="21"/>
          <w:u w:val="none"/>
        </w:rPr>
        <w:t xml:space="preserve">承包人原因造成工期延误，逾期竣工违约金的计算方法为：</w:t>
      </w:r>
      <w:r>
        <w:rPr>
          <w:rFonts w:ascii="SimSun" w:hAnsi="SimSun" w:eastAsia="SimSun" w:cs="SimSun"/>
          <w:color w:val="000000"/>
          <w:sz w:val="21"/>
          <w:u w:val="single"/>
        </w:rPr>
        <w:t xml:space="preserve">  按每延误一天处以20000元的违约金。承包人支付逾期竣工违约金后，不免除承包人继续完成工程及修补缺陷的义务。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w:t>
      </w:r>
      <w:r>
        <w:rPr>
          <w:rFonts w:ascii="SimSun" w:hAnsi="SimSun" w:eastAsia="SimSun" w:cs="SimSun"/>
          <w:color w:val="000000"/>
          <w:sz w:val="21"/>
          <w:u w:val="none"/>
        </w:rPr>
        <w:t xml:space="preserve">期竣工违约金的上限：。</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.6 不</w:t>
      </w:r>
      <w:r>
        <w:rPr>
          <w:rFonts w:ascii="SimSun" w:hAnsi="SimSun" w:eastAsia="SimSun" w:cs="SimSun"/>
          <w:color w:val="000000"/>
          <w:sz w:val="21"/>
        </w:rPr>
        <w:t xml:space="preserve">利物质条件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不利物质条件的其他情形和有关约定：</w:t>
      </w:r>
      <w:r>
        <w:rPr>
          <w:rFonts w:ascii="SimSun" w:hAnsi="SimSun" w:eastAsia="SimSun" w:cs="SimSun"/>
          <w:color w:val="000000"/>
          <w:sz w:val="21"/>
          <w:u w:val="single"/>
        </w:rPr>
        <w:t xml:space="preserve">承包人投标前自行勘察现场，报价时统一考虑。</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.7异常恶劣的气候条件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  发生6级以上地震、6级以上连续8小时的大风、100年一遇持续10天的暴雨、超强台风、雷击、连续30 天大雨、瘟疫等严重的流行性疾病暴发等不可抗力因素；</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工程所在地政府及有关部门发布的预警信号及相关指令：以政府气象部门发布暴雨橙色预警信号、台风黄色预警信号、大风黄色预警信号、寒潮橙色预警信号、 暴雪黄色预警信号、沙尘暴橙色预警信号、高温橙色预警信号、雷电橙色预警信号为判别依据，出现以上预警信号时视为异常恶劣的气候条件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  工程所在地政府建设主管部门发布的极端高温或低温、台风等恶劣气象情况禁止施工的情形以及因环境污染、政府举办的大型活动、中高考等禁止施工的情形 </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 提前竣工的奖励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7.9.2提前竣工的奖励：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材料与设备</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SimSun" w:hAnsi="SimSun" w:eastAsia="SimSun" w:cs="SimSun"/>
          <w:color w:val="000000"/>
          <w:sz w:val="21"/>
          <w:u w:val="none"/>
        </w:rPr>
        <w:t xml:space="preserve">.4材料与工程设备的保管与使用</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SimSun" w:hAnsi="SimSun" w:eastAsia="SimSun" w:cs="SimSun"/>
          <w:color w:val="000000"/>
          <w:sz w:val="21"/>
          <w:u w:val="none"/>
        </w:rPr>
        <w:t xml:space="preserve">.4.1发包人供应的材料设备的保管费用的承担：</w:t>
      </w:r>
      <w:r>
        <w:rPr>
          <w:rFonts w:ascii="SimSun" w:hAnsi="SimSun" w:eastAsia="SimSun" w:cs="SimSun"/>
          <w:color w:val="000000"/>
          <w:sz w:val="21"/>
          <w:u w:val="single"/>
        </w:rPr>
        <w:t xml:space="preserve">承包人应做好成品保护工作，对原材料、半成品、工序产品以及已完成的分部分项产品进行有效的保护，否则一旦造成损坏，将会增加修复工作，带来工、料浪费、工期拖延及经济损失的，由承包人承担。</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 样品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8.6.1</w:t>
        <w:tab/>
        <w:t xml:space="preserve">样品的报送与封存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用于本工程之任何材料的品质，在使用前必须得到发包人认可或批准。在施工前，承包人须提供各有关材料的样本作认可之用。发包人对任何样本之认可或批准，并不免除承包人对工程质量应负的责任和义务。承包人须提供发包人认可或批准的样本在工地，以便发包人核对作为以后验收工程的标准。否则，由此产生的一切后果及发生的费用均由承包人承担。</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 施工设备和临时设施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 承包人提供的施工设备和临时设施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1"/>
          <w:u w:val="none"/>
        </w:rPr>
        <w:t xml:space="preserve">. 试验与检验</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1"/>
          <w:u w:val="none"/>
        </w:rPr>
        <w:t xml:space="preserve">.1试验设备与试验人员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1"/>
          <w:u w:val="none"/>
        </w:rPr>
        <w:t xml:space="preserve">.1.2 试验设备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color w:val="000000"/>
          <w:sz w:val="21"/>
          <w:u w:val="single"/>
        </w:rPr>
        <w:t xml:space="preserve">符合国家规定，承包人自行考虑 </w:t>
      </w: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color w:val="000000"/>
          <w:sz w:val="21"/>
          <w:u w:val="single"/>
        </w:rPr>
        <w:t xml:space="preserve"> 按规定要求取样，现场不配备试验设备，试件统一到发包人指定的材料检测单位进行检测。材料检测、桩基检测、节能检测、环保检测、门窗四性检测等属于永久工程上的必要的检测、检验费用由发包人承担，如检测不合格再次复检所产生的检测、检验费用由承包人承担(如由于发包人供应的材料、设备出现检测不合格时的除外)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color w:val="000000"/>
          <w:sz w:val="21"/>
          <w:u w:val="single"/>
        </w:rPr>
        <w:t xml:space="preserve">符合国家规定，承包人自行考虑 </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现场工艺试验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single"/>
        </w:rPr>
        <w:t xml:space="preserve">符合国家规定，承包人自行考虑</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0. 变更</w:t>
      </w:r>
      <w:r/>
    </w:p>
    <w:p>
      <w:pPr>
        <w:ind w:left="0" w:right="0" w:firstLine="19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10.1所有工程量清单以外的增加项目必须经发包人书面同意方可实施。</w:t>
      </w:r>
      <w:r/>
    </w:p>
    <w:p>
      <w:pPr>
        <w:ind w:left="0" w:right="0" w:firstLine="19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所申报的签证费用将在竣工结算时调整，中间支付不作考虑。任何时候施工单位不得以变更费用未核定或者对核定价格有争议为借口影响施工。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11、其他变更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在工程实施过程中，发包人发出的设计变更、签证，增减或调整工作内容及施工进度、变更材料、材质的指令等，是合同的一部分，承包人须无条件按发包人的要求实施并承担合同义务，否则视作违约。计量方法按以上约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发生变更、签证、施工条件变化等，要由发包人签字确认并加盖公章方为有效；由于设计变更、现场签证等引起的新的工程量清单项目，其综合单价由承包人提出，经发包人签字确认后，作为竣工结算依据；未认可的由审计单位确认，按成交下浮率下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0.5承包人的合理化建议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SimSun" w:hAnsi="SimSun" w:eastAsia="SimSun" w:cs="SimSun"/>
          <w:color w:val="000000"/>
          <w:sz w:val="21"/>
          <w:u w:val="single"/>
        </w:rPr>
        <w:t xml:space="preserve">   收到后7天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w:t>
      </w:r>
      <w:r>
        <w:rPr>
          <w:rFonts w:ascii="SimSun" w:hAnsi="SimSun" w:eastAsia="SimSun" w:cs="SimSun"/>
          <w:color w:val="000000"/>
          <w:sz w:val="21"/>
          <w:u w:val="single"/>
        </w:rPr>
        <w:t xml:space="preserve">  收到监理报送的资料后7天内  </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w:t>
      </w:r>
      <w:r>
        <w:rPr>
          <w:rFonts w:ascii="SimSun" w:hAnsi="SimSun" w:eastAsia="SimSun" w:cs="SimSun"/>
          <w:color w:val="000000"/>
          <w:sz w:val="21"/>
          <w:u w:val="none"/>
        </w:rPr>
        <w:t xml:space="preserve">包人提出的合理化建议降低了合同价格或者提高了工程经济效益的奖励的方法和金额为：</w:t>
      </w:r>
      <w:r>
        <w:rPr>
          <w:rFonts w:ascii="SimSun" w:hAnsi="SimSun" w:eastAsia="SimSun" w:cs="SimSun"/>
          <w:color w:val="000000"/>
          <w:sz w:val="21"/>
          <w:u w:val="single"/>
        </w:rPr>
        <w:t xml:space="preserve">   另行商定</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0.7 暂估价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w:t>
      </w:r>
      <w:r>
        <w:rPr>
          <w:rFonts w:ascii="SimSun" w:hAnsi="SimSun" w:eastAsia="SimSun" w:cs="SimSun"/>
          <w:color w:val="000000"/>
          <w:sz w:val="21"/>
          <w:u w:val="none"/>
        </w:rPr>
        <w:t xml:space="preserve">估价材料和工程设备的明细详见附件11：《暂估价一览表》。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0.7.1 依法必须招标的暂估价项目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对于依法必须招标的暂估价项目的确认和批准采取第</w:t>
      </w:r>
      <w:r>
        <w:rPr>
          <w:rFonts w:ascii="SimSun" w:hAnsi="SimSun" w:eastAsia="SimSun" w:cs="SimSun"/>
          <w:color w:val="000000"/>
          <w:sz w:val="21"/>
          <w:u w:val="single"/>
        </w:rPr>
        <w:t xml:space="preserve"> 公开招标</w:t>
      </w:r>
      <w:r>
        <w:rPr>
          <w:rFonts w:ascii="SimSun" w:hAnsi="SimSun" w:eastAsia="SimSun" w:cs="SimSun"/>
          <w:color w:val="000000"/>
          <w:sz w:val="21"/>
        </w:rPr>
        <w:t xml:space="preserve">种方式确定。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10.7.2 不属于依法必须招标的暂估价项目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对于不属于依法必须招标的暂估价项目的确认和批准采取第</w:t>
      </w:r>
      <w:r>
        <w:rPr>
          <w:rFonts w:ascii="SimSun" w:hAnsi="SimSun" w:eastAsia="SimSun" w:cs="SimSun"/>
          <w:color w:val="000000"/>
          <w:sz w:val="21"/>
          <w:u w:val="single"/>
        </w:rPr>
        <w:t xml:space="preserve">直接实施</w:t>
      </w:r>
      <w:r>
        <w:rPr>
          <w:rFonts w:ascii="SimSun" w:hAnsi="SimSun" w:eastAsia="SimSun" w:cs="SimSun"/>
          <w:color w:val="000000"/>
          <w:sz w:val="21"/>
        </w:rPr>
        <w:t xml:space="preserve"> 种方式确定。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第3种方式：承包人直接实施的暂估价项目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承包人直接实施的暂估价项目的约定：</w:t>
      </w:r>
      <w:r>
        <w:rPr>
          <w:rFonts w:ascii="SimSun" w:hAnsi="SimSun" w:eastAsia="SimSun" w:cs="SimSun"/>
          <w:color w:val="000000"/>
          <w:sz w:val="21"/>
          <w:u w:val="single"/>
        </w:rPr>
        <w:t xml:space="preserve">承包人应在该暂估价项目实施前30天提交实施暂估价项目的材料品牌、设计方案及相应的报价通过监理报送跟踪审计及发包人，发包人在7天内完成审批或提出修改意见，最终结算按审计结算为准</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暂列金额</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rPr>
          <w:rFonts w:ascii="SimSun" w:hAnsi="SimSun" w:eastAsia="SimSun" w:cs="SimSun"/>
          <w:color w:val="000000"/>
          <w:sz w:val="21"/>
          <w:u w:val="single"/>
        </w:rPr>
        <w:t xml:space="preserve"> 由发包人确定</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价格调整</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11.1 市场价格波动引起的调整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SimSun" w:hAnsi="SimSun" w:eastAsia="SimSun" w:cs="SimSun"/>
          <w:color w:val="000000"/>
          <w:sz w:val="21"/>
          <w:u w:val="single"/>
        </w:rPr>
        <w:t xml:space="preserve">  详见本合同专用条款12.1约定</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因市场价格波动调整合同价格，采用以下第</w:t>
      </w:r>
      <w:r>
        <w:rPr>
          <w:rFonts w:ascii="SimSun" w:hAnsi="SimSun" w:eastAsia="SimSun" w:cs="SimSun"/>
          <w:color w:val="000000"/>
          <w:sz w:val="21"/>
          <w:u w:val="single"/>
        </w:rPr>
        <w:t xml:space="preserve"> 3</w:t>
      </w:r>
      <w:r>
        <w:rPr>
          <w:rFonts w:ascii="SimSun" w:hAnsi="SimSun" w:eastAsia="SimSun" w:cs="SimSun"/>
          <w:color w:val="000000"/>
          <w:sz w:val="21"/>
        </w:rPr>
        <w:t xml:space="preserve">种方式对合同价格进行调整：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第1种方式：采用价格指数进行价格调整。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关于各可调因子、定值和变值权重，以及基本价格指数及其来源的约定：</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第2种方式：采用造价信息进行价格调整。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（2）关于基准价格的约定：</w:t>
      </w:r>
      <w:r>
        <w:rPr>
          <w:rFonts w:ascii="SimSun" w:hAnsi="SimSun" w:eastAsia="SimSun" w:cs="SimSun"/>
          <w:color w:val="000000"/>
          <w:sz w:val="21"/>
          <w:u w:val="single"/>
        </w:rPr>
        <w:t xml:space="preserve">按发布招标控制价时约定的当期信息价为基准价。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③承包人在已标价工程量清单或预算书中载明的材料单价等于基准单价的：专用合同条款合同履行期间材料单价涨跌幅以基准单价为基础超过±%时，其超过部分据实调整。</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第3种方式：其他价格调整方式：</w:t>
      </w:r>
      <w:r>
        <w:rPr>
          <w:rFonts w:ascii="SimSun" w:hAnsi="SimSun" w:eastAsia="SimSun" w:cs="SimSun"/>
          <w:color w:val="000000"/>
          <w:sz w:val="21"/>
          <w:u w:val="single"/>
        </w:rPr>
        <w:t xml:space="preserve">  详见本合同专用条款12.1款约定  </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 </w:t>
      </w:r>
      <w:r>
        <w:rPr>
          <w:rFonts w:ascii="SimSun" w:hAnsi="SimSun" w:eastAsia="SimSun" w:cs="SimSun"/>
          <w:color w:val="000000"/>
          <w:sz w:val="21"/>
        </w:rPr>
        <w:t xml:space="preserve">合同价格、计量与支付</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12.1 合</w:t>
      </w:r>
      <w:r>
        <w:rPr>
          <w:rFonts w:ascii="SimSun" w:hAnsi="SimSun" w:eastAsia="SimSun" w:cs="SimSun"/>
          <w:color w:val="000000"/>
          <w:sz w:val="21"/>
        </w:rPr>
        <w:t xml:space="preserve">同价格形式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rPr>
          <w:rFonts w:ascii="SimSun" w:hAnsi="SimSun" w:eastAsia="SimSun" w:cs="SimSun"/>
          <w:color w:val="000000"/>
          <w:sz w:val="21"/>
          <w:u w:val="single"/>
        </w:rPr>
        <w:t xml:space="preserve">按现行相关文件规定执行</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本工程标底中不计取风险费用</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2、执行综合单价合同的基本规定：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则综合单价不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（2）工程量清单漏项、发包人指令引起新的工程量清单项目，其相应综合单价由承包人提出，经发包人确认后作为结算的依据，并按成交下浮率下浮，最终结算由审计确定。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(3)供应商报价时，必须按统一的工程量清单报价，成交后，本工程中工程量清单项目的综合单价按预算单价下浮之后的综合单价执行[成交下浮率= (预算价-中标价)/[预算价-暂列金额* (1+规费费率)*(1+税费费率)-专业暂估价* (1+规费费率)*(+税费费率)-材料暂估价包括甲供材料费*(1+安全文明施工措施费率) (1+规费费率)*(1+税费费率)]]，由于工程量清单的工程数量有误或者设计变更、现场签证等引起的工程量增减，经采购方批准同意后，根据追加的采购计划签订补充合同。但全部补充合同的采购金额不得超过</w:t>
      </w:r>
      <w:r>
        <w:rPr>
          <w:rFonts w:ascii="SimSun" w:hAnsi="SimSun" w:eastAsia="SimSun" w:cs="SimSun"/>
          <w:color w:val="000000"/>
          <w:sz w:val="21"/>
        </w:rPr>
        <w:t xml:space="preserve">原合同金额的 10%。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（4）本工程在磋商采购文件中已明确的各项施工措施费，均包含在合同总价中，不予调整。在施工过程中，工程变更产生的施工措施费，可以根据相关资料按实调整，并做相应的下浮。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（5）实质性响应条款：（1）追加费用不得超过原合同金额的10%。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小额工程在履行合同时，建设单位有权发生工程变更，施工单位按照工程变更管理的相关规定办理变更手续，工程完工验收合格后，按木渎镇相关要求进行审计。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w:t>
      </w:r>
      <w:r>
        <w:rPr>
          <w:rFonts w:ascii="SimSun" w:hAnsi="SimSun" w:eastAsia="SimSun" w:cs="SimSun"/>
          <w:color w:val="000000"/>
          <w:sz w:val="21"/>
          <w:u w:val="single"/>
        </w:rPr>
        <w:t xml:space="preserve">无，本工程为单价合同。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无，本工程为单价合同</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无，本工程为单价合同</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3、其他价格方式：</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12.2 预付款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预付款的支付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预付款担保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计量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按《建设工程工程量清单计价规范》(GB50500-2013)及其各专业相应的工程量计算规范以及相配套的江苏省2014版各专业计价表的工程量计算规则。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00"/>
          <w:sz w:val="21"/>
          <w:u w:val="single"/>
        </w:rPr>
        <w:t xml:space="preserve">   每月25日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21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承包人向工程师提交已完工程量报告的时间：每月日承包人提供当月计量报表六份；监理和跟踪审计单位于每月日审核核定并报至发包人。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总价合同的计量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 项〔总价合同的计量〕约定进行计量：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rPr>
          <w:rFonts w:ascii="SimSun" w:hAnsi="SimSun" w:eastAsia="SimSun" w:cs="SimSun"/>
          <w:color w:val="000000"/>
          <w:sz w:val="21"/>
          <w:u w:val="single"/>
        </w:rPr>
        <w:t xml:space="preserve">      无。</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工程进度款支付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12.4.1 付款周期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 一般工程（合同金额在5万或5万以上的）</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（1）、完成总工程量的50%。支付工程合同款的25%；</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（2）、待竣工验收合格后，再支付工程合同款的25%；</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审计结束后分别于8月底或春节前付款，以竣工验收合格时间为准，竣工验收合格一年内付到审计金额的60%，超过一年不到两年的付到75%，超过两年不到三年的付到90%，余额在付到90%的基础上一年付清。一个工程项目年度内只能支付一次。</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（4）、按上述（3）条所规定金额支付后，竣工验收合格超过2年（即付到审计金额90%），项目余额（即剩余的审计金额10%）低于10万元的，也一起付清。</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竣工验收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13.2.2竣工验收程序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rPr>
          <w:rFonts w:ascii="SimSun" w:hAnsi="SimSun" w:eastAsia="SimSun" w:cs="SimSun"/>
          <w:color w:val="000000"/>
          <w:sz w:val="21"/>
          <w:u w:val="single"/>
        </w:rPr>
        <w:t xml:space="preserve">按有关施工验收规范以及监理细则执行。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按照通用条款执行</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13.2.5移交、接收全部与部分工程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SimSun" w:hAnsi="SimSun" w:eastAsia="SimSun" w:cs="SimSun"/>
          <w:color w:val="000000"/>
          <w:sz w:val="21"/>
          <w:u w:val="single"/>
        </w:rPr>
        <w:t xml:space="preserve">按每延误一天处以元的违约金。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color w:val="000000"/>
          <w:sz w:val="21"/>
          <w:u w:val="single"/>
        </w:rPr>
        <w:t xml:space="preserve"> /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工程试车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 试车程序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rPr>
          <w:rFonts w:ascii="SimSun" w:hAnsi="SimSun" w:eastAsia="SimSun" w:cs="SimSun"/>
          <w:color w:val="000000"/>
          <w:sz w:val="21"/>
          <w:u w:val="single"/>
        </w:rPr>
        <w:t xml:space="preserve">     按项目实际情况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（1）单机无负荷试车费用由</w:t>
      </w:r>
      <w:r>
        <w:rPr>
          <w:rFonts w:ascii="SimSun" w:hAnsi="SimSun" w:eastAsia="SimSun" w:cs="SimSun"/>
          <w:color w:val="000000"/>
          <w:sz w:val="21"/>
          <w:u w:val="single"/>
        </w:rPr>
        <w:t xml:space="preserve">    承包人</w:t>
      </w:r>
      <w:r>
        <w:rPr>
          <w:rFonts w:ascii="SimSun" w:hAnsi="SimSun" w:eastAsia="SimSun" w:cs="SimSun"/>
          <w:color w:val="000000"/>
          <w:sz w:val="21"/>
        </w:rPr>
        <w:t xml:space="preserve">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（2）无负荷联动试车费用由</w:t>
      </w:r>
      <w:r>
        <w:rPr>
          <w:rFonts w:ascii="SimSun" w:hAnsi="SimSun" w:eastAsia="SimSun" w:cs="SimSun"/>
          <w:color w:val="000000"/>
          <w:sz w:val="21"/>
          <w:u w:val="single"/>
        </w:rPr>
        <w:t xml:space="preserve">   发包人</w:t>
      </w:r>
      <w:r>
        <w:rPr>
          <w:rFonts w:ascii="SimSun" w:hAnsi="SimSun" w:eastAsia="SimSun" w:cs="SimSun"/>
          <w:color w:val="000000"/>
          <w:sz w:val="21"/>
        </w:rPr>
        <w:t xml:space="preserve">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13.3.3 投料试车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rPr>
          <w:rFonts w:ascii="SimSun" w:hAnsi="SimSun" w:eastAsia="SimSun" w:cs="SimSun"/>
          <w:color w:val="000000"/>
          <w:sz w:val="21"/>
          <w:u w:val="single"/>
        </w:rPr>
        <w:t xml:space="preserve">    本工程无此项</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竣工退场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 竣工退场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并承担因违反有关规定而造成的损失费用和罚款。在发包人提出限时清理现场垃圾指令后，如承包人不予配合或不及时清理等情况，发包人有权另行委托其他单位进行清理，相应费用经监理、跟踪审计、发包人审核确认后，在承包人下期应付工程款中直接扣除。</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竣工结算</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竣工结算申请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承包人提交竣工结算申请单的期限：</w:t>
      </w:r>
      <w:r>
        <w:rPr>
          <w:rFonts w:ascii="SimSun" w:hAnsi="SimSun" w:eastAsia="SimSun" w:cs="SimSun"/>
          <w:color w:val="000000"/>
          <w:sz w:val="21"/>
          <w:u w:val="single"/>
        </w:rPr>
        <w:t xml:space="preserve">  按吴中区规定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竣工结算申请单应包括的内容：</w:t>
      </w:r>
      <w:r>
        <w:rPr>
          <w:rFonts w:ascii="SimSun" w:hAnsi="SimSun" w:eastAsia="SimSun" w:cs="SimSun"/>
          <w:color w:val="000000"/>
          <w:sz w:val="21"/>
          <w:u w:val="single"/>
        </w:rPr>
        <w:t xml:space="preserve">  按吴中区规定</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  按吴中区规定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color w:val="000000"/>
          <w:sz w:val="21"/>
          <w:u w:val="single"/>
        </w:rPr>
        <w:t xml:space="preserve">   按本合同专用条款12.4.1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rPr>
          <w:rFonts w:ascii="SimSun" w:hAnsi="SimSun" w:eastAsia="SimSun" w:cs="SimSun"/>
          <w:color w:val="000000"/>
          <w:sz w:val="21"/>
          <w:u w:val="single"/>
        </w:rPr>
        <w:t xml:space="preserve"> 按通用条款</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最终结清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 最终结清申请单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 按吴中区规定</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color w:val="000000"/>
          <w:sz w:val="21"/>
          <w:u w:val="single"/>
        </w:rPr>
        <w:t xml:space="preserve"> 按吴中区规定</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 最终结清证书和支付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    按通用条款执行</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  按本合同专用条款12.4.1  </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15. 缺陷责任期与保修</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15.2缺陷责任期</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00"/>
          <w:sz w:val="21"/>
          <w:u w:val="single"/>
        </w:rPr>
        <w:t xml:space="preserve">  自实际竣工日期起算24个月  </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质量保证金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  是</w:t>
      </w:r>
      <w:r>
        <w:rPr>
          <w:rFonts w:ascii="SimSun" w:hAnsi="SimSun" w:eastAsia="SimSun" w:cs="SimSun"/>
          <w:color w:val="000000"/>
          <w:sz w:val="21"/>
        </w:rPr>
        <w:t xml:space="preserve">。在工程项目竣工前，承包人按专用合同条款第3.7条提供履约担保的，发包人不得同时预留工程质量保证金。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承包人提供质量保证金的方式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SimSun" w:hAnsi="SimSun" w:eastAsia="SimSun" w:cs="SimSun"/>
          <w:color w:val="000000"/>
          <w:sz w:val="21"/>
          <w:u w:val="single"/>
        </w:rPr>
        <w:t xml:space="preserve"> 3</w:t>
      </w:r>
      <w:r>
        <w:rPr>
          <w:rFonts w:ascii="SimSun" w:hAnsi="SimSun" w:eastAsia="SimSun" w:cs="SimSun"/>
          <w:color w:val="000000"/>
          <w:sz w:val="21"/>
        </w:rPr>
        <w:t xml:space="preserve">种方式：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w:t>
      </w:r>
      <w:r>
        <w:rPr>
          <w:rFonts w:ascii="SimSun" w:hAnsi="SimSun" w:eastAsia="SimSun" w:cs="SimSun"/>
          <w:color w:val="000000"/>
          <w:sz w:val="21"/>
          <w:u w:val="single"/>
        </w:rPr>
        <w:t xml:space="preserve">        /           </w:t>
      </w: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w:t>
      </w:r>
      <w:r>
        <w:rPr>
          <w:rFonts w:ascii="SimSun" w:hAnsi="SimSun" w:eastAsia="SimSun" w:cs="SimSun"/>
          <w:color w:val="000000"/>
          <w:sz w:val="21"/>
        </w:rPr>
        <w:t xml:space="preserve">%的工程款；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（3）其他方式:</w:t>
      </w:r>
      <w:r>
        <w:rPr>
          <w:rFonts w:ascii="SimSun" w:hAnsi="SimSun" w:eastAsia="SimSun" w:cs="SimSun"/>
          <w:color w:val="000000"/>
          <w:sz w:val="21"/>
          <w:u w:val="single"/>
        </w:rPr>
        <w:t xml:space="preserve">3%的审定价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质量保证金的扣留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SimSun" w:hAnsi="SimSun" w:eastAsia="SimSun" w:cs="SimSun"/>
          <w:color w:val="000000"/>
          <w:sz w:val="21"/>
          <w:u w:val="single"/>
        </w:rPr>
        <w:t xml:space="preserve">  3 </w:t>
      </w:r>
      <w:r>
        <w:rPr>
          <w:rFonts w:ascii="SimSun" w:hAnsi="SimSun" w:eastAsia="SimSun" w:cs="SimSun"/>
          <w:color w:val="000000"/>
          <w:sz w:val="21"/>
        </w:rPr>
        <w:t xml:space="preserve">种方式：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（3）其他扣留方式:</w:t>
      </w:r>
      <w:r>
        <w:rPr>
          <w:rFonts w:ascii="SimSun" w:hAnsi="SimSun" w:eastAsia="SimSun" w:cs="SimSun"/>
          <w:color w:val="000000"/>
          <w:sz w:val="21"/>
          <w:u w:val="single"/>
        </w:rPr>
        <w:t xml:space="preserve">按吴中区规定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rPr>
          <w:rFonts w:ascii="SimSun" w:hAnsi="SimSun" w:eastAsia="SimSun" w:cs="SimSun"/>
          <w:color w:val="000000"/>
          <w:sz w:val="21"/>
          <w:u w:val="single"/>
        </w:rPr>
        <w:t xml:space="preserve">留竣工结算审定价的3%作为工程质量保修金，其中：土建1%，防水2%</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15.4保修</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 保修责任</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00"/>
          <w:sz w:val="21"/>
          <w:u w:val="single"/>
        </w:rPr>
        <w:t xml:space="preserve">按工程质量保修书的条款。</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 修复通知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rPr>
          <w:rFonts w:ascii="SimSun" w:hAnsi="SimSun" w:eastAsia="SimSun" w:cs="SimSun"/>
          <w:color w:val="000000"/>
          <w:sz w:val="21"/>
          <w:u w:val="single"/>
        </w:rPr>
        <w:t xml:space="preserve">  按工程质量保修书条款 </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违约</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发包人违约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SimSun" w:hAnsi="SimSun" w:eastAsia="SimSun" w:cs="SimSun"/>
          <w:color w:val="000000"/>
          <w:sz w:val="21"/>
          <w:u w:val="single"/>
        </w:rPr>
        <w:t xml:space="preserve">工程中途停建、缓建或由于发包人错误造成的返工</w:t>
      </w:r>
      <w:r>
        <w:rPr>
          <w:rFonts w:ascii="SimSun" w:hAnsi="SimSun" w:eastAsia="SimSun" w:cs="SimSun"/>
          <w:color w:val="000000"/>
          <w:sz w:val="21"/>
        </w:rPr>
        <w:t xml:space="preserve">。</w:t>
      </w:r>
      <w:r/>
    </w:p>
    <w:p>
      <w:pPr>
        <w:ind w:left="1200" w:right="0" w:hanging="1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16.1.2 发包人违约的责任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  另行协商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 ①按同期人民银行颁布的贷款利率的2倍及逾期支付天数计算逾期支付工程款的利息；②逾期支付工程款引起停工的发包人还要承担停工所引起的工期延误和承包人的损失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rPr>
          <w:rFonts w:ascii="SimSun" w:hAnsi="SimSun" w:eastAsia="SimSun" w:cs="SimSun"/>
          <w:color w:val="000000"/>
          <w:sz w:val="21"/>
          <w:u w:val="single"/>
        </w:rPr>
        <w:t xml:space="preserve">暂无，如有，另行协商</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   暂无，如有，另行协商</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rPr>
          <w:rFonts w:ascii="SimSun" w:hAnsi="SimSun" w:eastAsia="SimSun" w:cs="SimSun"/>
          <w:color w:val="000000"/>
          <w:sz w:val="21"/>
          <w:u w:val="single"/>
        </w:rPr>
        <w:t xml:space="preserve">承担工期延误及承包人的损失</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承担工期延误及承包人的损失</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rPr>
          <w:rFonts w:ascii="SimSun" w:hAnsi="SimSun" w:eastAsia="SimSun" w:cs="SimSun"/>
          <w:color w:val="000000"/>
          <w:sz w:val="21"/>
          <w:u w:val="single"/>
        </w:rPr>
        <w:t xml:space="preserve">工程中途停建、缓建或由于发包人错误造成的返工的，发包人承担工期延误及承包人的损失</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因发包人违约解除合同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承包人按16.1.1项〔发包人违约的情形〕约定暂停施工满</w:t>
      </w:r>
      <w:r>
        <w:rPr>
          <w:rFonts w:ascii="SimSun" w:hAnsi="SimSun" w:eastAsia="SimSun" w:cs="SimSun"/>
          <w:color w:val="000000"/>
          <w:sz w:val="21"/>
          <w:u w:val="single"/>
        </w:rPr>
        <w:t xml:space="preserve"> 28</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承包人违约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rPr>
          <w:rFonts w:ascii="SimSun" w:hAnsi="SimSun" w:eastAsia="SimSun" w:cs="SimSun"/>
          <w:color w:val="000000"/>
          <w:sz w:val="21"/>
          <w:u w:val="single"/>
        </w:rPr>
        <w:t xml:space="preserve">承包人质量达不到约定质量标准的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，必须自费进行返工；经返工质量仍达不到约定质量等级的，必须承担质量违约金，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质量违约金按苏州市有关文件规定执行；工程质量不合格返工使工程逾期完成，承包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人必须承担逾期完工的违约金，逾期完工违约金和工程质量违约金同时适用。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    发包人承担实际费用</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不可抗力</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不可抗力的确认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不可抗力的情况指合同双方在合同履行中出现的不能预见、不能避免并不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能克服的客观情况。包括但不限于：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(1)天气现象：风、雨、雪、冰雹、大雾、冰冻、高温等恶劣气候。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(2)水文地质：洪水爆发、地下水管涌、山体滑坡、泥石流、地震、火山喷发、海啸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、地下有害埋藏物或文物、松软地基、地下径流等。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(3)天文现象：不明飞行物坠落、太阳磁爆、日食等。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(4)其他影响合同履行的自然现象。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(5)政府行为类：政府部门禁令（譬如废除废止某类材料的使用或禁止进口、出口等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）、战争、政府新颁法律或规范等。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(6)民间或自然爆发类：游行示威、罢工、火灾、爆炸、流行性（传染性）疾病等。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(7)上述情形如导致合同不能正常履约方可定义为不可抗力，否则，不予认可。</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因不可抗力解除合同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90</w:t>
      </w:r>
      <w:r>
        <w:rPr>
          <w:rFonts w:ascii="SimSun" w:hAnsi="SimSun" w:eastAsia="SimSun" w:cs="SimSun"/>
          <w:color w:val="000000"/>
          <w:sz w:val="21"/>
        </w:rPr>
        <w:t xml:space="preserve">天内完成款项的支付。</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保险</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SimSun" w:hAnsi="SimSun" w:eastAsia="SimSun" w:cs="SimSun"/>
          <w:color w:val="000000"/>
          <w:sz w:val="21"/>
          <w:u w:val="single"/>
        </w:rPr>
        <w:t xml:space="preserve">按现行相关文件规定执行 </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其他保险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按现行相关文件规定执行</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color w:val="000000"/>
          <w:sz w:val="21"/>
          <w:u w:val="single"/>
        </w:rPr>
        <w:t xml:space="preserve">按现行相关文件规定执行</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 通知义务</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00"/>
          <w:sz w:val="21"/>
          <w:u w:val="single"/>
        </w:rPr>
        <w:t xml:space="preserve">按现行相关文件规定执行</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争议解决</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争议评审</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20.3.1 争议评审小组的确定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20.3.2 争议评审小组的决定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  由建设主管部门调解</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20.4仲裁或诉讼</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     </w:t>
      </w:r>
      <w:r>
        <w:rPr>
          <w:rFonts w:ascii="SimSun" w:hAnsi="SimSun" w:eastAsia="SimSun" w:cs="SimSun"/>
          <w:color w:val="000000"/>
          <w:sz w:val="21"/>
        </w:rPr>
        <w:t xml:space="preserve">仲裁委员会申请仲裁；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  工程所在地</w:t>
      </w:r>
      <w:r>
        <w:rPr>
          <w:rFonts w:ascii="SimSun" w:hAnsi="SimSun" w:eastAsia="SimSun" w:cs="SimSun"/>
          <w:color w:val="000000"/>
          <w:sz w:val="21"/>
        </w:rPr>
        <w:t xml:space="preserve">人民法院起诉。</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21.补充条款</w:t>
      </w:r>
      <w:r/>
    </w:p>
    <w:p>
      <w:pPr>
        <w:ind w:left="0" w:right="0" w:firstLine="36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21.1其他承包人需完成工作：</w:t>
      </w:r>
      <w:r/>
    </w:p>
    <w:p>
      <w:pPr>
        <w:ind w:left="0" w:right="0" w:firstLine="36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3.1竣工备案工作：工程竣工验收合格后三个月内完成质检、档案馆的资料移交工作。</w:t>
      </w:r>
      <w:r/>
    </w:p>
    <w:p>
      <w:pPr>
        <w:ind w:left="0" w:right="0" w:firstLine="36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3.2审计送审工作：工程竣工验收合格后三个月内完成送审工作，资料符合送审要求。</w:t>
      </w:r>
      <w:r/>
    </w:p>
    <w:p>
      <w:pPr>
        <w:ind w:left="0" w:right="0" w:firstLine="424"/>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本页以下无内容。</w:t>
        <w:br w:type="page" w:clear="all"/>
      </w:r>
      <w:r/>
    </w:p>
    <w:p>
      <w:pPr>
        <w:ind w:left="0" w:right="0" w:firstLine="424"/>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协议书附件：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附件1：承包人承揽工程项目一览表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专用合同条款附件：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附件2：发包人供应材料设备一览表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附件3：工程质量保修书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附件4：履约担保格式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附件5：预付款担保格式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附件6：支付担保格式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附件7：暂估价一览表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本页以下空白。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56" w:after="156"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附件1：</w:t>
      </w:r>
      <w:r/>
    </w:p>
    <w:p>
      <w:pPr>
        <w:ind w:left="0" w:right="0" w:firstLine="0"/>
        <w:jc w:val="center"/>
        <w:spacing w:before="156" w:after="156"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承包人承揽工程项目一览表</w:t>
      </w:r>
      <w:r/>
    </w:p>
    <w:tbl>
      <w:tblPr>
        <w:tblStyle w:val="6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3"/>
        <w:gridCol w:w="545"/>
        <w:gridCol w:w="817"/>
        <w:gridCol w:w="1090"/>
        <w:gridCol w:w="636"/>
        <w:gridCol w:w="817"/>
        <w:gridCol w:w="727"/>
        <w:gridCol w:w="1271"/>
        <w:gridCol w:w="999"/>
        <w:gridCol w:w="10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36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单位工程名称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建设规模</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建筑面积</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平方米</w:t>
            </w:r>
            <w:r>
              <w:rPr>
                <w:rFonts w:ascii="Times New Roman" w:hAnsi="Times New Roman" w:eastAsia="Times New Roman" w:cs="Times New Roman"/>
                <w:color w:val="000000"/>
                <w:sz w:val="24"/>
              </w:rPr>
              <w:t xml:space="preserve">)</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结构形式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636"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层数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生产能力</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2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设备安装内容</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71"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合同价格（元）</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开工日期</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竣工日期</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36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36"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1"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36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36"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1"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36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36"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1"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36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36"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1"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36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36"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1"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36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36"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1"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36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36"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1"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36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36"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1"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136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636"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72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271"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附</w:t>
      </w:r>
      <w:r>
        <w:rPr>
          <w:rFonts w:ascii="FangSong" w:hAnsi="FangSong" w:eastAsia="FangSong" w:cs="FangSong"/>
          <w:color w:val="000000"/>
          <w:sz w:val="30"/>
          <w:u w:val="none"/>
        </w:rPr>
        <w:t xml:space="preserve">件</w:t>
      </w:r>
      <w:r>
        <w:rPr>
          <w:rFonts w:ascii="Times New Roman" w:hAnsi="Times New Roman" w:eastAsia="Times New Roman" w:cs="Times New Roman"/>
          <w:color w:val="000000"/>
          <w:sz w:val="30"/>
        </w:rPr>
        <w:t xml:space="preserve">2</w:t>
      </w:r>
      <w:r>
        <w:rPr>
          <w:rFonts w:ascii="FangSong" w:hAnsi="FangSong" w:eastAsia="FangSong" w:cs="FangSong"/>
          <w:color w:val="000000"/>
          <w:sz w:val="30"/>
          <w:u w:val="none"/>
        </w:rPr>
        <w:t xml:space="preserve">：</w:t>
      </w:r>
      <w:r/>
    </w:p>
    <w:p>
      <w:pPr>
        <w:ind w:left="0" w:right="0" w:firstLine="0"/>
        <w:jc w:val="center"/>
        <w:spacing w:before="156" w:after="156"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发包人供应材料设备一览表</w:t>
      </w:r>
      <w:r/>
    </w:p>
    <w:tbl>
      <w:tblPr>
        <w:tblStyle w:val="6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4"/>
        <w:gridCol w:w="1115"/>
        <w:gridCol w:w="1239"/>
        <w:gridCol w:w="822"/>
        <w:gridCol w:w="744"/>
        <w:gridCol w:w="913"/>
        <w:gridCol w:w="867"/>
        <w:gridCol w:w="744"/>
        <w:gridCol w:w="1300"/>
        <w:gridCol w:w="867"/>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材料、</w:t>
            </w:r>
            <w:r/>
          </w:p>
          <w:p>
            <w:pPr>
              <w:ind w:left="0"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设备品种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单价（元）</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质量等级</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供应时间</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送达地点</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无</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w:t>
      </w:r>
      <w:r>
        <w:rPr>
          <w:rFonts w:ascii="SimSun" w:hAnsi="SimSun" w:eastAsia="SimSun" w:cs="SimSun"/>
          <w:color w:val="000000"/>
          <w:sz w:val="21"/>
          <w:u w:val="none"/>
        </w:rPr>
        <w:t xml:space="preserve">件3：</w:t>
      </w:r>
      <w:r/>
    </w:p>
    <w:p>
      <w:pPr>
        <w:ind w:left="0" w:right="0" w:firstLine="0"/>
        <w:jc w:val="center"/>
        <w:spacing w:before="156" w:after="156"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承包人（全称）：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发包人和承包人根据《中华人民共和国建筑法》和《建设工程质量管理条例》，经协商一致就（工程全称）签订工程质量保修书。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一、工程质量保修范围和内容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承包人在质量保修期内，按照有关法律规定和合同约定，承担工程质量保修责任。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按本合同协议书承包人承包范围内容。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二、质量保修期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根据《建设工程质量管理条例》及有关规定，工程的质量保修期如下：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1．地基基础工程和主体结构工程为设计文件规定的工程合理使用年限；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2．屋面防水工程、有防水要求的卫生间、房间和外墙面的防渗为</w:t>
      </w:r>
      <w:r>
        <w:rPr>
          <w:rFonts w:ascii="SimSun" w:hAnsi="SimSun" w:eastAsia="SimSun" w:cs="SimSun"/>
          <w:color w:val="000000"/>
          <w:sz w:val="21"/>
          <w:u w:val="single"/>
        </w:rPr>
        <w:t xml:space="preserve">五</w:t>
      </w:r>
      <w:r>
        <w:rPr>
          <w:rFonts w:ascii="SimSun" w:hAnsi="SimSun" w:eastAsia="SimSun" w:cs="SimSun"/>
          <w:color w:val="000000"/>
          <w:sz w:val="21"/>
        </w:rPr>
        <w:t xml:space="preserve">年；</w:t>
      </w:r>
      <w:r/>
    </w:p>
    <w:p>
      <w:pPr>
        <w:ind w:left="42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3．装修工程为</w:t>
      </w:r>
      <w:r>
        <w:rPr>
          <w:rFonts w:ascii="SimSun" w:hAnsi="SimSun" w:eastAsia="SimSun" w:cs="SimSun"/>
          <w:color w:val="000000"/>
          <w:sz w:val="21"/>
          <w:u w:val="single"/>
        </w:rPr>
        <w:t xml:space="preserve">二</w:t>
      </w:r>
      <w:r>
        <w:rPr>
          <w:rFonts w:ascii="SimSun" w:hAnsi="SimSun" w:eastAsia="SimSun" w:cs="SimSun"/>
          <w:color w:val="000000"/>
          <w:sz w:val="21"/>
        </w:rPr>
        <w:t xml:space="preserve">年；</w:t>
      </w:r>
      <w:r/>
    </w:p>
    <w:p>
      <w:pPr>
        <w:ind w:left="42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4．电气管线、给排水管道、设备安装工程为</w:t>
      </w:r>
      <w:r>
        <w:rPr>
          <w:rFonts w:ascii="SimSun" w:hAnsi="SimSun" w:eastAsia="SimSun" w:cs="SimSun"/>
          <w:color w:val="000000"/>
          <w:sz w:val="21"/>
          <w:u w:val="single"/>
        </w:rPr>
        <w:t xml:space="preserve">二</w:t>
      </w:r>
      <w:r>
        <w:rPr>
          <w:rFonts w:ascii="SimSun" w:hAnsi="SimSun" w:eastAsia="SimSun" w:cs="SimSun"/>
          <w:color w:val="000000"/>
          <w:sz w:val="21"/>
        </w:rPr>
        <w:t xml:space="preserve">年；</w:t>
      </w:r>
      <w:r/>
    </w:p>
    <w:p>
      <w:pPr>
        <w:ind w:left="42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5．供热与供冷系统为</w:t>
      </w:r>
      <w:r>
        <w:rPr>
          <w:rFonts w:ascii="SimSun" w:hAnsi="SimSun" w:eastAsia="SimSun" w:cs="SimSun"/>
          <w:color w:val="000000"/>
          <w:sz w:val="21"/>
          <w:u w:val="single"/>
        </w:rPr>
        <w:t xml:space="preserve">二</w:t>
      </w:r>
      <w:r>
        <w:rPr>
          <w:rFonts w:ascii="SimSun" w:hAnsi="SimSun" w:eastAsia="SimSun" w:cs="SimSun"/>
          <w:color w:val="000000"/>
          <w:sz w:val="21"/>
        </w:rPr>
        <w:t xml:space="preserve">个采暖期、供冷期；</w:t>
      </w:r>
      <w:r/>
    </w:p>
    <w:p>
      <w:pPr>
        <w:ind w:left="42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6．住宅小区内的给排水设施、道路等配套工程为</w:t>
      </w:r>
      <w:r>
        <w:rPr>
          <w:rFonts w:ascii="SimSun" w:hAnsi="SimSun" w:eastAsia="SimSun" w:cs="SimSun"/>
          <w:color w:val="000000"/>
          <w:sz w:val="21"/>
          <w:u w:val="single"/>
        </w:rPr>
        <w:t xml:space="preserve">二</w:t>
      </w:r>
      <w:r>
        <w:rPr>
          <w:rFonts w:ascii="SimSun" w:hAnsi="SimSun" w:eastAsia="SimSun" w:cs="SimSun"/>
          <w:color w:val="000000"/>
          <w:sz w:val="21"/>
        </w:rPr>
        <w:t xml:space="preserve">年；</w:t>
      </w:r>
      <w:r/>
    </w:p>
    <w:p>
      <w:pPr>
        <w:ind w:left="42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7．其他项目保修期限为</w:t>
      </w:r>
      <w:r>
        <w:rPr>
          <w:rFonts w:ascii="SimSun" w:hAnsi="SimSun" w:eastAsia="SimSun" w:cs="SimSun"/>
          <w:color w:val="000000"/>
          <w:sz w:val="21"/>
          <w:u w:val="single"/>
        </w:rPr>
        <w:t xml:space="preserve">二</w:t>
      </w:r>
      <w:r>
        <w:rPr>
          <w:rFonts w:ascii="SimSun" w:hAnsi="SimSun" w:eastAsia="SimSun" w:cs="SimSun"/>
          <w:color w:val="000000"/>
          <w:sz w:val="21"/>
        </w:rPr>
        <w:t xml:space="preserve">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质量保修期自工程竣工验收合格之日起计算。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三、缺陷责任期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w:t>
      </w:r>
      <w:r>
        <w:rPr>
          <w:rFonts w:ascii="SimSun" w:hAnsi="SimSun" w:eastAsia="SimSun" w:cs="SimSun"/>
          <w:color w:val="000000"/>
          <w:sz w:val="21"/>
          <w:u w:val="single"/>
        </w:rPr>
        <w:t xml:space="preserve">24</w:t>
      </w:r>
      <w:r>
        <w:rPr>
          <w:rFonts w:ascii="SimSun" w:hAnsi="SimSun" w:eastAsia="SimSun" w:cs="SimSun"/>
          <w:color w:val="000000"/>
          <w:sz w:val="21"/>
        </w:rPr>
        <w:t xml:space="preserve">个月，缺陷责任期自工程通过竣工验收之日起计算。单位工程先于全部工程进行验收，单位工程缺陷责任期自单位工程验收合格之日起算。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缺陷责任期终止后，发包人应退还剩余的质量保证金。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四、质量保修责任</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1．属于保修范围、内容的项目，承包人应当在接到保修通知之日起7天内派人保修。承包人不在约定期限内派人保修的，发包人可以委托他人修理。</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2．发生紧急事故需抢修的，承包人在接到事故通知后，应当立即到达事故现场抢修。</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4．质量保修完成后，由发包人组织验收。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五、保修费用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保修费用由造成质量缺陷的责任方承担。</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w:t>
      </w:r>
      <w:r>
        <w:rPr>
          <w:rFonts w:ascii="SimSun" w:hAnsi="SimSun" w:eastAsia="SimSun" w:cs="SimSun"/>
          <w:color w:val="000000"/>
          <w:sz w:val="21"/>
        </w:rPr>
        <w:t xml:space="preserve">、双方约定的其他工程质量保修事项：</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5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工程质量保修书由发包人、承包人在工程竣工验收前共同签署，作为施工合同附件，其有效期限至保修期满。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w:t>
      </w:r>
      <w:r>
        <w:rPr>
          <w:rFonts w:ascii="SimSun" w:hAnsi="SimSun" w:eastAsia="SimSun" w:cs="SimSun"/>
          <w:color w:val="000000"/>
          <w:sz w:val="21"/>
          <w:u w:val="single"/>
        </w:rPr>
        <w:t xml:space="preserve">       </w:t>
      </w:r>
      <w:r>
        <w:rPr>
          <w:rFonts w:ascii="SimSun" w:hAnsi="SimSun" w:eastAsia="SimSun" w:cs="SimSun"/>
          <w:color w:val="000000"/>
          <w:sz w:val="21"/>
        </w:rPr>
        <w:t xml:space="preserve">承包人(公章)：</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rPr>
          <w:rFonts w:ascii="SimSun" w:hAnsi="SimSun" w:eastAsia="SimSun" w:cs="SimSun"/>
          <w:color w:val="000000"/>
          <w:sz w:val="21"/>
        </w:rPr>
        <w:t xml:space="preserve">法定代表人(签字)：</w:t>
      </w:r>
      <w:r/>
    </w:p>
    <w:p>
      <w:pPr>
        <w:ind w:left="0" w:right="0" w:firstLine="0"/>
        <w:jc w:val="both"/>
        <w:spacing w:before="0" w:after="0" w:line="85" w:lineRule="atLeast"/>
        <w:tabs>
          <w:tab w:val="left" w:pos="4840" w:leader="none"/>
          <w:tab w:val="left" w:pos="5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w:t>
      </w:r>
      <w:r>
        <w:rPr>
          <w:rFonts w:ascii="SimSun" w:hAnsi="SimSun" w:eastAsia="SimSun" w:cs="SimSun"/>
          <w:color w:val="000000"/>
          <w:sz w:val="21"/>
          <w:u w:val="single"/>
        </w:rPr>
        <w:t xml:space="preserve">      </w:t>
      </w:r>
      <w:r>
        <w:rPr>
          <w:rFonts w:ascii="SimSun" w:hAnsi="SimSun" w:eastAsia="SimSun" w:cs="SimSun"/>
          <w:color w:val="000000"/>
          <w:sz w:val="21"/>
        </w:rPr>
        <w:t xml:space="preserve">委托代理人(签字)：</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rPr>
          <w:rFonts w:ascii="SimSun" w:hAnsi="SimSun" w:eastAsia="SimSun" w:cs="SimSun"/>
          <w:color w:val="000000"/>
          <w:sz w:val="21"/>
        </w:rPr>
        <w:t xml:space="preserve">电话：</w:t>
      </w:r>
      <w:r>
        <w:rPr>
          <w:rFonts w:ascii="SimSun" w:hAnsi="SimSun" w:eastAsia="SimSun" w:cs="SimSun"/>
          <w:color w:val="000000"/>
          <w:sz w:val="21"/>
          <w:u w:val="singl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w:t>
      </w:r>
      <w:r>
        <w:rPr>
          <w:rFonts w:ascii="SimSun" w:hAnsi="SimSun" w:eastAsia="SimSun" w:cs="SimSun"/>
          <w:color w:val="000000"/>
          <w:sz w:val="21"/>
        </w:rPr>
        <w:t xml:space="preserve">账号：</w:t>
      </w: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rPr>
          <w:rFonts w:ascii="SimSun" w:hAnsi="SimSun" w:eastAsia="SimSun" w:cs="SimSun"/>
          <w:color w:val="000000"/>
          <w:sz w:val="21"/>
        </w:rPr>
        <w:t xml:space="preserve">邮政编码：</w:t>
      </w:r>
      <w:r>
        <w:rPr>
          <w:rFonts w:ascii="SimSun" w:hAnsi="SimSun" w:eastAsia="SimSun" w:cs="SimSun"/>
          <w:color w:val="000000"/>
          <w:sz w:val="21"/>
          <w:u w:val="single"/>
        </w:rPr>
        <w:t xml:space="preserve">     </w:t>
      </w:r>
      <w:r>
        <w:rPr>
          <w:rFonts w:ascii="SimSun" w:hAnsi="SimSun" w:eastAsia="SimSun" w:cs="SimSun"/>
          <w:color w:val="000000"/>
          <w:sz w:val="21"/>
        </w:rPr>
        <w:t xml:space="preserve">邮政编码：</w:t>
      </w:r>
      <w:r>
        <w:rPr>
          <w:rFonts w:ascii="SimSun" w:hAnsi="SimSun" w:eastAsia="SimSun" w:cs="SimSun"/>
          <w:color w:val="000000"/>
          <w:sz w:val="21"/>
          <w:u w:val="single"/>
        </w:rPr>
        <w:t xml:space="preserve"> </w:t>
      </w:r>
      <w:r/>
      <w:r/>
    </w:p>
    <w:p>
      <w:pPr>
        <w:ind w:left="0" w:right="0" w:firstLine="2168"/>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jc w:val="both"/>
        <w:spacing w:before="0" w:after="12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jc w:val="both"/>
        <w:spacing w:before="0" w:after="12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jc w:val="both"/>
        <w:spacing w:before="0" w:after="12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jc w:val="both"/>
        <w:spacing w:before="0" w:after="12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jc w:val="both"/>
        <w:spacing w:before="0" w:after="12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jc w:val="both"/>
        <w:spacing w:before="0" w:after="12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jc w:val="both"/>
        <w:spacing w:before="0" w:after="12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jc w:val="both"/>
        <w:spacing w:before="0" w:after="12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jc w:val="both"/>
        <w:spacing w:before="0" w:after="12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jc w:val="both"/>
        <w:spacing w:before="0" w:after="12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jc w:val="both"/>
        <w:spacing w:before="0" w:after="12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jc w:val="both"/>
        <w:spacing w:before="0" w:after="12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jc w:val="both"/>
        <w:spacing w:before="0" w:after="12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jc w:val="both"/>
        <w:spacing w:before="0" w:after="12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jc w:val="both"/>
        <w:spacing w:before="0" w:after="12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jc w:val="both"/>
        <w:spacing w:before="0" w:after="12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jc w:val="both"/>
        <w:spacing w:before="0" w:after="12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jc w:val="both"/>
        <w:spacing w:before="0" w:after="12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合同附件4：</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附件：工程建设项目廉政责任书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加强工程建设中的廉政建设，规范工程建设项目承包双方的各项活动，防止发生各种谋取不当利益的违法违纪行为,保护国家、集体和当事人合法权益,根据国家有关工程建没的法律法规和廉政建设责任制规定，特订立本廉政责任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第一条甲乙双方的责任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(一)应严格遵守国家关于市场准入、项目招标投标、工程建设、施工安装和市场活动等有关法律、法规，相关政策，以及廉政建设的各项规定。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(二)严格执行建设工程项目承发包合同文件，自觉按合同办事。</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(三)业务活动必须坚持公开、公平、公正、诚信、透明的原则(除法律法规另有规定者外)，不得为获取不正当的利益，损害国家、集体和对方的利益，不得违反工程建设管理、施工安装的规章制度。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(四)发现对方在业务活动中有违规、违纪、违法行为的，应及时提醒对方，情节严重的应向其上级主管部门或纪检监察、司法等有关机关举报。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第二条甲方的责任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甲方的领导和从事该建设工程项目的工作人员，在工程建设的事前、事中、事后应遵守以下规定: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(一)不准向乙方和相关单位索要或接受回扣、礼金、有价证券、贵重物品和好处费、感谢费等。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(二)不准在乙方和相关单位报销任何应由甲方或个人支付的费用。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(三)不准要求、暗示、接受乙方和相关单位为个人装修住房、婚丧、嫁娶、配偶子女的工作安排以及出国(境)、旅游等提供方便。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(四)不准参加有可能影响公正执行公务的乙方和相关单位的宴请和健身、娱乐活动。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不准向乙方介绍或为配偶、子女、亲属参与甲方项目工程施工合同有关的设备、材料、工程分包、劳务等经济活动。不得以任何理由向乙方和相关单位推荐分包单位和要求乙方购买项月工程施工合同规定以外的材料、设备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第三条乙方的责任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应与甲方保持正常的业务交往，按照有关法律法规和程序开展业务工作，严格执行工程建设的有关方针。政策，尤其是有关建筑施工安装的强制性标准和规范，并遵守以下规定: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(一)不准以任何理由向甲方、相关单位及其工作人员索要、接受或赠送礼金、有价证券、贵重物品和回扣、好处费、感谢费等。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(二)不准以任何理由为甲方和相关单位报销应由对方或个人支付的费用。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(三)不准接受或暗示为甲方、相关单位或个人装修住房、婚丧嫁娶，配偶子女的工作安排以及出国(境)、旅游等提供方便。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(四)不准以任何理由为甲方、相关单位或个人组织有可能影响公正执行公务的宴请，健身，娱乐等活动。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第四条违约责任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工作人员有违反本责任书第一、二条责任行为的，按照管理权限，依据管理权限，依据有关法律法规和规定给予党纪、政纪处分或组织处理;涉嫌犯罪的，移交司法机关追究刑事责任;给乙方单位造成经济损失的，应予赔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工作人员有违反本责任书第一、三条责任行为的，按照管理权限，依据有关法律法规的规定给予党纪、政纪处分或组织处理;涉嫌犯罪的，移交司法机关追究刑事责任;给甲方单位造成经济损失的，应予赔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第五条本责任书作为工程施工合同的附件，与工程施工合同具有同等法律效力，经双方签署后立即生效。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第六条本责任书的有效期为双方签署之日起至该工程项目竣工验收合格时止。</w:t>
      </w:r>
      <w:r/>
    </w:p>
    <w:p>
      <w:pPr>
        <w:ind w:left="0" w:right="0" w:firstLine="482"/>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甲方单位(签章):                 乙方单位(签章):</w:t>
      </w:r>
      <w:r/>
    </w:p>
    <w:p>
      <w:pPr>
        <w:ind w:left="0" w:right="0" w:firstLine="482"/>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                     法定代表入:</w:t>
      </w:r>
      <w:r/>
    </w:p>
    <w:p>
      <w:pPr>
        <w:ind w:left="0" w:right="0" w:firstLine="482"/>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地址:</w:t>
      </w:r>
      <w:r/>
    </w:p>
    <w:p>
      <w:pPr>
        <w:ind w:left="0" w:right="0" w:firstLine="482"/>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                           电话:</w:t>
      </w:r>
      <w:r/>
    </w:p>
    <w:p>
      <w:pPr>
        <w:ind w:left="0" w:right="0" w:firstLine="482"/>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年月日年月日</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jc w:val="both"/>
        <w:spacing w:before="0" w:after="12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jc w:val="both"/>
        <w:spacing w:before="0" w:after="12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jc w:val="both"/>
        <w:spacing w:before="0" w:after="12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jc w:val="both"/>
        <w:spacing w:before="0" w:after="12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合同附件5：</w:t>
      </w:r>
      <w:r/>
    </w:p>
    <w:p>
      <w:pPr>
        <w:ind w:left="0" w:right="0" w:firstLine="3373"/>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建设工程安全生产管理协议</w:t>
      </w:r>
      <w:r/>
    </w:p>
    <w:p>
      <w:pPr>
        <w:ind w:left="0" w:right="0" w:firstLine="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 共同职责</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（1）坚持“安全第一、预防为主、综合治理”的安全生产方针和按照“管行业、管业务、管生产必须同时管安全”的基本原则，进行安全生产管理。</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共同遵守《中华人民共和国安全生产法》、《江苏省安全生产条例》、《建筑工程安全生产管理条例》等一系列国家、地方现行有关安全生产的法律、法规、规章和标准，认真执行工程承包合同中有关安全生产的约定。</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（3）安全设施必须坚持与主体工程“三同时”的原则，即：同时设计、审批，同时施工，同时验收、投入使用。</w:t>
      </w:r>
      <w:r/>
    </w:p>
    <w:p>
      <w:pPr>
        <w:ind w:left="0" w:right="0" w:firstLine="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 发包人职责</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（1）按行业有关规定申报办理安全监督手续，参加专项方案安全性论证，及时审批施工组织设计等有关安全的专项方案，主动履行发包人职责。</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（2）定期参加工程项目例会，及时传达中央、地方及发包人有关安全生产的精神及要求。</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（3）定期开展多种形式的安全检查工作，督促承包人及时处理发现的各种安全隐患。</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（4）按照工程承包合同约定，及时、足额向承包人拨付保障施工作业安全所需的资金。</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（5）发生安全事故时，发包人应立即了解情况，督促承包人及时处理并第一时间上报有关部门。</w:t>
      </w:r>
      <w:r/>
    </w:p>
    <w:p>
      <w:pPr>
        <w:ind w:left="0" w:right="0" w:firstLine="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3.承包人职责</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（1）依法建立健全安全生产责任体系，完善安全生产管理基本制度，主动履行承包人职责。</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（2）积极配合、主动接受各级各类安全管理、监督、检查工作，确保所提供资料的完整性和真实性，及时排除检查过程中发现的安全隐患。</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（3）应按照《建筑施工企业安全生产管理机构设置及专职安全生产管理人员配备办法》规定的数量和资质条件，设置安全生产管理机构，配备专职及兼职安全生产管理人员。</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必须具有安全生产许可证。参加施工作业的人员，必须接受安全技术教育，熟知和遵守本工种的各项安全技术操作规程，定期进行安全技术考核，合格者方准上岗操作。特种作业人员应经安全技术培训、安全技术理论考核和实际操作技能考核合格，取得特种作业操作资格证后，方可上岗从事相应作业。</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（5）操作人员上岗，必须经安全交底并按规定穿戴防护用品。施工负责人和安全管理人员应随时检查劳动防护用品的穿戴使用情况，不按规定穿戴防护用品的人员不得上岗作业，不合格的防护用品严禁使用。</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（6）所有施工机具、设备均应定期检查，保证其经常处于完好状态。特种设备应经专业检查验收，并在有效检验周期内使用。不合格的机具、设备严禁使用。</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生产区域、生活区域、储存区域之间的安全距离以及周边防护安全距离，应当符合国家标准或者行业标准。施工作业环境应当满足消防、防护、通风、照明等安全作业要求。施工现场应建立消防安全责任制度，确定消防安全责任人，制定用火、用电、使用易燃易爆材料等各项消防安全管理制度和操作规程，配备充足的消防设施和器材。</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（8）应按照《危险性较大的分部分项工程安全管理办法》要求，在危险性较大的分部分项工程施工前编制专项方案，对于超过一定规模的危险性较大的分部分项工程，应当组织专家对专项方案进行论证。</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（9）必须根据本工程项目的特点，按照国家有关规定，编制生产安全事故应急救援预案，建立应急救援组织或指定应急救援人员，配备救援设备和器材，并定期组织演练。</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（9）应按照《企业安全生产费用提取和使用管理办法》相关规定对安全生产费用进行使用和管理。保证施工安全防护用具及设施的采购和更新、安全措施的落实、安全生产条件的改善等方面的资金投入。</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（10）应按照《生产安全事故报告和调查处理条例》以及其他有关规定，发生安全事故及时上报有关部门，并坚持“四不放过”的原则，严肃处理相关责任人。</w:t>
      </w:r>
      <w:r/>
    </w:p>
    <w:p>
      <w:pPr>
        <w:ind w:left="0" w:right="0" w:firstLine="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4.违约责任</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如因发包人或承包人违约造成安全事故，将依法追究责任，事故责任由责任方承担。</w:t>
      </w:r>
      <w:r/>
    </w:p>
    <w:p>
      <w:pPr>
        <w:ind w:left="0" w:right="0" w:firstLine="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5.协议生效</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本协议作为建设工程施工合同的附属文件，由法定代表人或其授权的代理人签署并加盖单位公章后生效，工程竣工验收后失效。</w:t>
      </w:r>
      <w:r/>
    </w:p>
    <w:tbl>
      <w:tblPr>
        <w:tblStyle w:val="6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1"/>
        <w:gridCol w:w="4261"/>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w:t>
            </w:r>
            <w:r/>
          </w:p>
          <w:p>
            <w:pPr>
              <w:ind w:left="0" w:right="0" w:firstLine="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(盖单位章)</w:t>
            </w:r>
            <w:r/>
          </w:p>
          <w:p>
            <w:pPr>
              <w:ind w:left="0" w:right="0" w:firstLine="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法定代表人或其授权代理人：</w:t>
            </w:r>
            <w:r/>
          </w:p>
          <w:p>
            <w:pPr>
              <w:ind w:left="0" w:right="0" w:firstLine="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r>
            <w:r/>
          </w:p>
          <w:p>
            <w:pPr>
              <w:ind w:left="0" w:right="0" w:firstLine="945"/>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w:t>
            </w:r>
            <w:r/>
          </w:p>
          <w:p>
            <w:pPr>
              <w:ind w:left="0" w:right="0" w:firstLine="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(盖单位章)</w:t>
            </w:r>
            <w:r/>
          </w:p>
          <w:p>
            <w:pPr>
              <w:ind w:left="0" w:right="0" w:firstLine="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法定代表人或其授权代理人：</w:t>
            </w:r>
            <w:r/>
          </w:p>
          <w:p>
            <w:pPr>
              <w:ind w:left="0" w:right="0" w:firstLine="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r>
            <w:r/>
          </w:p>
          <w:p>
            <w:pPr>
              <w:ind w:left="0" w:right="0" w:firstLine="945"/>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168"/>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168"/>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168"/>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168"/>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168"/>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168"/>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68"/>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2168"/>
        <w:jc w:val="both"/>
        <w:spacing w:before="0" w:after="0" w:line="6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2168"/>
        <w:jc w:val="both"/>
        <w:spacing w:before="0" w:after="0" w:line="6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2168"/>
        <w:jc w:val="both"/>
        <w:spacing w:before="0" w:after="0" w:line="6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2168"/>
        <w:jc w:val="both"/>
        <w:spacing w:before="0" w:after="0" w:line="6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2168"/>
        <w:jc w:val="both"/>
        <w:spacing w:before="0" w:after="0" w:line="6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2168"/>
        <w:jc w:val="both"/>
        <w:spacing w:before="0" w:after="0" w:line="6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2168"/>
        <w:jc w:val="both"/>
        <w:spacing w:before="0" w:after="0" w:line="6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2168"/>
        <w:jc w:val="both"/>
        <w:spacing w:before="0" w:after="0" w:line="6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2168"/>
        <w:jc w:val="both"/>
        <w:spacing w:before="0" w:after="0" w:line="6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2168"/>
        <w:jc w:val="both"/>
        <w:spacing w:before="0" w:after="0" w:line="6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技术要求、图纸</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一、现行国家技术、施工及验收规范规程，对施工工艺的特殊要求，按设计图纸及国家有关规定执行。</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二、工程量清单、图纸（如有）、技术要求等。</w:t>
      </w:r>
      <w:r/>
    </w:p>
    <w:p>
      <w:pPr>
        <w:ind w:left="0" w:right="0" w:firstLine="482"/>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本项目附件资料请各供应商自行下载:</w:t>
      </w:r>
      <w:r/>
    </w:p>
    <w:p>
      <w:pPr>
        <w:ind w:left="0" w:right="0" w:firstLine="48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链接:</w:t>
      </w:r>
      <w:r>
        <w:rPr>
          <w:rFonts w:ascii="SimSun" w:hAnsi="SimSun" w:eastAsia="SimSun" w:cs="SimSun"/>
          <w:b/>
          <w:color w:val="000000"/>
          <w:sz w:val="21"/>
        </w:rPr>
        <w:t xml:space="preserve">https://pan.baidu.com/s/1WfyHrv-vlNhBiZik_TOnTA?pwd=yh8a</w:t>
      </w:r>
      <w:r>
        <w:rPr>
          <w:rFonts w:ascii="SimSun" w:hAnsi="SimSun" w:eastAsia="SimSun" w:cs="SimSun"/>
          <w:b/>
          <w:color w:val="000000"/>
          <w:sz w:val="24"/>
        </w:rPr>
        <w:t xml:space="preserve">  </w:t>
      </w:r>
      <w:r/>
    </w:p>
    <w:p>
      <w:pPr>
        <w:ind w:left="0" w:right="0" w:firstLine="48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提取码:</w:t>
      </w:r>
      <w:r>
        <w:rPr>
          <w:rFonts w:ascii="SimSun" w:hAnsi="SimSun" w:eastAsia="SimSun" w:cs="SimSun"/>
          <w:b/>
          <w:color w:val="000000"/>
          <w:sz w:val="21"/>
        </w:rPr>
        <w:t xml:space="preserve">yh8a</w:t>
      </w:r>
      <w:r>
        <w:rPr>
          <w:rFonts w:ascii="SimSun" w:hAnsi="SimSun" w:eastAsia="SimSun" w:cs="SimSun"/>
          <w:b/>
          <w:color w:val="000000"/>
          <w:sz w:val="24"/>
        </w:rPr>
        <w:t xml:space="preserve"> </w:t>
      </w:r>
      <w:r/>
    </w:p>
    <w:p>
      <w:pPr>
        <w:ind w:left="0" w:right="0" w:firstLine="0"/>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五、磋商响应文件格式</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对本章所有的格式，供应商可根据自身情况进行补充和修改，但补充和修改不得造成与本格式内容有实质性的违背。</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开标一览表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tbl>
      <w:tblPr>
        <w:tblStyle w:val="6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13"/>
        <w:gridCol w:w="3213"/>
        <w:gridCol w:w="3213"/>
      </w:tblGrid>
      <w:tr>
        <w:trPr>
          <w:trHeight w:val="6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投标总报价(元)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1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磋商响应单位（签章）：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附件2：关于资格文件的声明函</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关于资格文件的声明函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愿就由贵公司组织实施的编号为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磋商响应单位：（签章）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附件3：磋商响应单位基本情况表</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磋商响应单位基本情况表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单位名称：（公章）</w:t>
      </w:r>
      <w:r/>
    </w:p>
    <w:tbl>
      <w:tblPr>
        <w:tblStyle w:val="6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34"/>
        <w:gridCol w:w="1923"/>
        <w:gridCol w:w="1474"/>
        <w:gridCol w:w="2075"/>
        <w:gridCol w:w="124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3" w:type="dxa"/>
            <w:vAlign w:val="center"/>
            <w:textDirection w:val="lrTb"/>
            <w:noWrap w:val="false"/>
          </w:tcPr>
          <w:p>
            <w:pPr>
              <w:ind w:left="0" w:right="0" w:firstLine="21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84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3" w:type="dxa"/>
            <w:vAlign w:val="center"/>
            <w:textDirection w:val="lrTb"/>
            <w:noWrap w:val="false"/>
          </w:tcPr>
          <w:p>
            <w:pPr>
              <w:ind w:left="0" w:right="0" w:firstLine="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126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2024年       万元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2024年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自有面积      平方米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承租面积      平方米</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单位简历及内设机构情况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单位优势及特长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近三年来完成或正在履行的重大合同情况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最近2年内在经营过程中受到何种奖励或处分</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（包括财政、工商、税务、物价、技监部门稽查情况和结果）</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最近3年内有无因售假、售劣或是其他原因被消费者投诉或起诉的情况及说明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（包括解决方式和结果）</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参加政府采购活动前三年内，在经营活动中有无重大违法记录情况及说明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420" w:right="0" w:firstLine="50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附件4：（磋商响应单位）法人授权委托书</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法人授权委托书</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 </w:t>
      </w:r>
      <w:r>
        <w:rPr>
          <w:rFonts w:ascii="SimSun" w:hAnsi="SimSun" w:eastAsia="SimSun" w:cs="SimSun"/>
          <w:color w:val="000000"/>
          <w:sz w:val="21"/>
          <w:u w:val="single"/>
        </w:rPr>
        <w:t xml:space="preserve">（供应商名称） </w:t>
      </w:r>
      <w:r>
        <w:rPr>
          <w:rFonts w:ascii="SimSun" w:hAnsi="SimSun" w:eastAsia="SimSun" w:cs="SimSun"/>
          <w:color w:val="000000"/>
          <w:sz w:val="21"/>
        </w:rPr>
        <w:t xml:space="preserve">授权 </w:t>
      </w:r>
      <w:r>
        <w:rPr>
          <w:rFonts w:ascii="SimSun" w:hAnsi="SimSun" w:eastAsia="SimSun" w:cs="SimSun"/>
          <w:color w:val="000000"/>
          <w:sz w:val="21"/>
          <w:u w:val="single"/>
        </w:rPr>
        <w:t xml:space="preserve">（被授权人的姓名）_</w:t>
      </w:r>
      <w:r>
        <w:rPr>
          <w:rFonts w:ascii="SimSun" w:hAnsi="SimSun" w:eastAsia="SimSun" w:cs="SimSun"/>
          <w:color w:val="000000"/>
          <w:sz w:val="21"/>
        </w:rPr>
        <w:t xml:space="preserve">为我方授权代表（即代理人），参加</w:t>
      </w:r>
      <w:r>
        <w:rPr>
          <w:rFonts w:ascii="SimSun" w:hAnsi="SimSun" w:eastAsia="SimSun" w:cs="SimSun"/>
          <w:color w:val="000000"/>
          <w:sz w:val="21"/>
          <w:u w:val="single"/>
        </w:rPr>
        <w:t xml:space="preserve">苏州顺心源招投标咨询服务有限公司</w:t>
      </w:r>
      <w:r>
        <w:rPr>
          <w:rFonts w:ascii="SimSun" w:hAnsi="SimSun" w:eastAsia="SimSun" w:cs="SimSun"/>
          <w:color w:val="000000"/>
          <w:sz w:val="21"/>
        </w:rPr>
        <w:t xml:space="preserve">组织实施的编号为</w:t>
      </w:r>
      <w:r>
        <w:rPr>
          <w:rFonts w:ascii="SimSun" w:hAnsi="SimSun" w:eastAsia="SimSun" w:cs="SimSun"/>
          <w:color w:val="000000"/>
          <w:sz w:val="21"/>
          <w:u w:val="single"/>
        </w:rPr>
        <w:t xml:space="preserve">   （采购编号）</w:t>
      </w:r>
      <w:r>
        <w:rPr>
          <w:rFonts w:ascii="SimSun" w:hAnsi="SimSun" w:eastAsia="SimSun" w:cs="SimSun"/>
          <w:color w:val="000000"/>
          <w:sz w:val="21"/>
        </w:rPr>
        <w:t xml:space="preserve">的竞争性磋商项目。代理人在本次招标活动过程、合同签订及处理有关事宜所作出的全部意思表示（包括签署的全部文件），我司均予以承认并由我司承担相应法律后果。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本授权委托书有效期自委托书作出之日起至本项目合同履行完毕之日止。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被授权人身份证号码：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被授权人联系电话：</w:t>
      </w:r>
      <w:r>
        <w:rPr>
          <w:rFonts w:ascii="SimSun" w:hAnsi="SimSun" w:eastAsia="SimSun" w:cs="SimSun"/>
          <w:color w:val="000000"/>
          <w:sz w:val="21"/>
          <w:u w:val="single"/>
        </w:rPr>
        <w:t xml:space="preserve">（手机）</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单位名称：（加盖CA电子公章）                                    </w:t>
      </w:r>
      <w:r/>
    </w:p>
    <w:p>
      <w:pPr>
        <w:ind w:left="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63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备注：供应商如有授权委托，必须提供法定代表人身份证复印件、法人授权委托书及代理人身份证复印件，否则投标无效；</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供应商无授权委托的情况下，必须提供法定代表人身份证复印件，否则投标无效。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附件5：磋商响应函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磋商响应函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苏州顺心源招投标咨询服务有限公司：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我们收到你们JSZC-320506-SXYZ-C2025-003号磋商采购文件，经仔细阅读和研究，我们决定参加本项目的磋商。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1、我们愿意按照磋商采购文件的一切要求，提供本次采购的全部服务。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2、如果我们的响应文件被接受，我们将严格履行磋商采购文件中规定的每一项要求，按期、按质、按量履行服务义务。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3、我们同意按磋商采购文件中的规定，本响应文件的有效期限为自开标之日起45日。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4、我们愿意提供采购人在磋商采购文件中要求的所有资料。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5、我方愿意遵守磋商采购文件中所列的收费标准。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6、我方在磋商响应文件和磋商中所作的承诺在磋商后保持有效，不作任何更改和变动。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7、我们愿意按磋商采购文件的规定交纳</w:t>
      </w:r>
      <w:r>
        <w:rPr>
          <w:rFonts w:ascii="SimSun" w:hAnsi="SimSun" w:eastAsia="SimSun" w:cs="SimSun"/>
          <w:color w:val="000000"/>
          <w:sz w:val="21"/>
          <w:u w:val="single"/>
        </w:rPr>
        <w:t xml:space="preserve">   /   </w:t>
      </w:r>
      <w:r>
        <w:rPr>
          <w:rFonts w:ascii="SimSun" w:hAnsi="SimSun" w:eastAsia="SimSun" w:cs="SimSun"/>
          <w:color w:val="000000"/>
          <w:sz w:val="21"/>
        </w:rPr>
        <w:t xml:space="preserve">元的磋商保证金。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8、如我方成为成交单位，我方愿意在领取成交通知书时按采购文件要求向代理机构支付成交服务费。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9、我们愿意按照《中华人民共和国民法典》履行自己应该承担的全部责任。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10、我们愿意按照贵公司磋商采购文件的要求提供电子响应文件（成交后5个工作日内提供两份纸质响应文件），并保证全部磋商响应文件内容真实有效，若有虚假，我公司愿意承担与此相关的一切责任。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11、综合说明：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（1）伴随服务及配合措施；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（2）要求采购单位提供的配合；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（3）对磋商采购文件有不同意见的偏离说明；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（4）其它说明；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所有有关标书的函电，请按下列地址联系：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单位：邮编：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开户名称：电话：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开户银行：传真：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开户账号：邮箱地址：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数字人民币账户信息：</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磋商响应单位：（签章）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附件6：磋商报价分析表（已标价工程量清单）</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附件7：技术及服务偏离表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技术及服务偏离表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tbl>
      <w:tblPr>
        <w:tblStyle w:val="6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7"/>
        <w:gridCol w:w="1841"/>
        <w:gridCol w:w="1657"/>
        <w:gridCol w:w="1473"/>
        <w:gridCol w:w="1739"/>
        <w:gridCol w:w="1797"/>
      </w:tblGrid>
      <w:tr>
        <w:trPr>
          <w:trHeight w:val="68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偏离/响应</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7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735" w:right="0" w:hanging="73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注：1、磋商响应单位应对照采购文件技术要求等要求，所投标的物（服务）与采购文件的规定有偏离的，应在此表中申明与技术要求条文的偏差和例外。</w:t>
      </w:r>
      <w:r/>
    </w:p>
    <w:p>
      <w:pPr>
        <w:ind w:left="735" w:right="0" w:hanging="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磋商响应单位：（签章）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附件8：商务条款偏离表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商务条款偏离表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tbl>
      <w:tblPr>
        <w:tblStyle w:val="6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1964"/>
        <w:gridCol w:w="2456"/>
        <w:gridCol w:w="2456"/>
        <w:gridCol w:w="1755"/>
      </w:tblGrid>
      <w:tr>
        <w:trPr>
          <w:trHeight w:val="68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响应文件的商务条款</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付款步骤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420" w:right="0" w:hanging="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磋商响应单位：（签章）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附件9：投标（响应）保证承诺书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投标（响应）保证承诺书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（采购代理机构名称）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我（单位/本人，以下统称我单位）自愿参加</w:t>
      </w:r>
      <w:r>
        <w:rPr>
          <w:rFonts w:ascii="SimSun" w:hAnsi="SimSun" w:eastAsia="SimSun" w:cs="SimSun"/>
          <w:color w:val="000000"/>
          <w:sz w:val="21"/>
          <w:u w:val="single"/>
        </w:rPr>
        <w:t xml:space="preserve">              （项目名称和采购编号）</w:t>
      </w:r>
      <w:r>
        <w:rPr>
          <w:rFonts w:ascii="SimSun" w:hAnsi="SimSun" w:eastAsia="SimSun" w:cs="SimSun"/>
          <w:color w:val="000000"/>
          <w:sz w:val="21"/>
        </w:rPr>
        <w:t xml:space="preserve">的投标（响应），并做出如下承诺：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一、除不可抗力外，我单位如果发生以下行为，将在行为发生的10个工作日内，向贵方</w:t>
      </w:r>
      <w:r>
        <w:rPr>
          <w:rFonts w:ascii="SimSun" w:hAnsi="SimSun" w:eastAsia="SimSun" w:cs="SimSun"/>
          <w:color w:val="000000"/>
          <w:sz w:val="21"/>
          <w:u w:val="single"/>
        </w:rPr>
        <w:t xml:space="preserve">（或采购人）</w:t>
      </w:r>
      <w:r>
        <w:rPr>
          <w:rFonts w:ascii="SimSun" w:hAnsi="SimSun" w:eastAsia="SimSun" w:cs="SimSun"/>
          <w:color w:val="000000"/>
          <w:sz w:val="21"/>
        </w:rPr>
        <w:t xml:space="preserve">支付本采购文件公布的预算金额（或最高限价）的2%作为违约赔偿金（数量不确定的单价采购须约定具体金额）。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1.自投标（响应）截止时间至本项目发布中标（成交）公告为止，撤销投标（响应）；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2.中标（成交）后不依法与采购人签订合同；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3.中标（成交）后不按本采购文件规定向采购人提交履约保证金（如有）；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4.中标（成交）后不按本采购文件规定向贵方缴纳采购代理费。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二、我单位知晓上述行为的法律后果，承认本承诺书作为贵方</w:t>
      </w:r>
      <w:r>
        <w:rPr>
          <w:rFonts w:ascii="SimSun" w:hAnsi="SimSun" w:eastAsia="SimSun" w:cs="SimSun"/>
          <w:color w:val="000000"/>
          <w:sz w:val="21"/>
          <w:u w:val="single"/>
        </w:rPr>
        <w:t xml:space="preserve">（或采购人）</w:t>
      </w:r>
      <w:r>
        <w:rPr>
          <w:rFonts w:ascii="SimSun" w:hAnsi="SimSun" w:eastAsia="SimSun" w:cs="SimSun"/>
          <w:color w:val="000000"/>
          <w:sz w:val="21"/>
        </w:rPr>
        <w:t xml:space="preserve">要求我单位履行违约赔偿义务的依据作用。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投标（响应）人（签章）：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附件10：项目经理无在建工程承诺书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项目经理无在建工程承诺书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（建设单位名称）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一、我公司郑重承诺就（项目名称）拟派的（项目经理姓名）（身份证号码） （注册证书编号），至本项目投标截止时间前，属于以下第（）条情形：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1、项目经理是非变更后无在建工程；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2、项目经理是变更后无在建工程（必须原合同工期已满且变更备案之日已满 6 个月）；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3、因非承包方原因致使工程项目停工或因故不能按期开工、且已办理了项目经理解锁手续；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4、项目经理有在建工程，但该在建工程与本次招标的工程属于同一工程项目、同一项目批文、同一施工地点分段发包或分期施工的情况且总的工程规模在项目经理执业范围之内。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注：属于以上第 2、3、4 种情形的，请提供相关证明材料扫描件附后，无证明材料不予认可。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二、我公司拟派项目负责人（项目经理）不存在以下情形：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项目经理同时在两个或者两个以上单位受聘或者执业：A、同时在两个及以上单位签订劳动合同或交纳社会保险； B、将本人执（职）业资格证书同时注册在两个及以上单位。</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项目经理无行贿犯罪行为记录；或者有行贿犯罪行为记录，但自记录之日起已超过5年的。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如有虚假，我单位愿意承担一切责任，并承担由此造成的一切损失。</w:t>
      </w:r>
      <w:r/>
    </w:p>
    <w:p>
      <w:pPr>
        <w:ind w:left="0" w:right="0" w:firstLine="609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9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承诺人（签章）：</w:t>
      </w:r>
      <w:r/>
    </w:p>
    <w:p>
      <w:pPr>
        <w:ind w:left="0" w:right="0" w:firstLine="5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附件11：针对本项目的人员配置表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针对本项目的人员配置表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tbl>
      <w:tblPr>
        <w:tblStyle w:val="6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5"/>
        <w:gridCol w:w="918"/>
        <w:gridCol w:w="966"/>
        <w:gridCol w:w="841"/>
        <w:gridCol w:w="773"/>
        <w:gridCol w:w="1033"/>
        <w:gridCol w:w="1420"/>
        <w:gridCol w:w="838"/>
        <w:gridCol w:w="1123"/>
        <w:gridCol w:w="668"/>
      </w:tblGrid>
      <w:tr>
        <w:trPr>
          <w:trHeight w:val="2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从事工作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vMerge w:val="restart"/>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13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工作领域</w:t>
            </w:r>
            <w:r/>
          </w:p>
        </w:tc>
        <w:tc>
          <w:tcPr>
            <w:vMerge w:val="continue"/>
            <w:textDirection w:val="lrTb"/>
            <w:noWrap w:val="false"/>
          </w:tcPr>
          <w:p>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磋商响应单位（签章）：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日期：</w:t>
      </w:r>
      <w:r/>
    </w:p>
    <w:p>
      <w:pPr>
        <w:ind w:left="735" w:right="0" w:hanging="73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附件12：类似项目业绩一览表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类似项目业绩一览表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tbl>
      <w:tblPr>
        <w:tblStyle w:val="6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63"/>
        <w:gridCol w:w="1722"/>
        <w:gridCol w:w="1722"/>
        <w:gridCol w:w="2048"/>
        <w:gridCol w:w="1803"/>
        <w:gridCol w:w="996"/>
      </w:tblGrid>
      <w:tr>
        <w:trPr>
          <w:trHeight w:val="680"/>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竣工验收日期</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0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工程类型</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合同金额（万元）</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4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03"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6"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4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03"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6"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4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03"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6"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4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03"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6"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4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03"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6"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4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03"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6"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注：1、本表后附采购文件中评审方法及评分标准中要求提供的其他证明材料。</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磋商响应单位（签章）：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附件13：中小企业声明函（参考格式）</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中小企业声明函（工程）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本公司（或联合体）郑重声明，根据《政府采购促进中小企业发展管理办法》（财库﹝2020﹞46 号）的规定，本公司 （或联合体）参加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采购活动，工程的施工单位全部为符合政策要求的中小企业承接。相关企业（含联合体中的中小企业、签订分包意向协议的中小企业）的具体情况如下：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 </w:t>
      </w:r>
      <w:r>
        <w:rPr>
          <w:rFonts w:ascii="SimSun" w:hAnsi="SimSun" w:eastAsia="SimSun" w:cs="SimSun"/>
          <w:color w:val="000000"/>
          <w:sz w:val="21"/>
        </w:rPr>
        <w:t xml:space="preserve">，属于</w:t>
      </w:r>
      <w:r>
        <w:rPr>
          <w:rFonts w:ascii="SimSun" w:hAnsi="SimSun" w:eastAsia="SimSun" w:cs="SimSun"/>
          <w:color w:val="000000"/>
          <w:sz w:val="21"/>
          <w:u w:val="single"/>
        </w:rPr>
        <w:t xml:space="preserve">（建筑业）</w:t>
      </w:r>
      <w:r>
        <w:rPr>
          <w:rFonts w:ascii="SimSun" w:hAnsi="SimSun" w:eastAsia="SimSun" w:cs="SimSun"/>
          <w:color w:val="000000"/>
          <w:sz w:val="21"/>
        </w:rPr>
        <w:t xml:space="preserve">； 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，从业人员人，营业收入为万元，资产总额为万元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 小型企业、微型企业）</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Sun" w:hAnsi="SimSun" w:eastAsia="SimSun" w:cs="SimSun"/>
          <w:color w:val="000000"/>
          <w:sz w:val="21"/>
          <w:u w:val="single"/>
        </w:rPr>
        <w:t xml:space="preserve">（标的名称） </w:t>
      </w:r>
      <w:r>
        <w:rPr>
          <w:rFonts w:ascii="SimSun" w:hAnsi="SimSun" w:eastAsia="SimSun" w:cs="SimSun"/>
          <w:color w:val="000000"/>
          <w:sz w:val="21"/>
        </w:rPr>
        <w:t xml:space="preserve">，属于</w:t>
      </w:r>
      <w:r>
        <w:rPr>
          <w:rFonts w:ascii="SimSun" w:hAnsi="SimSun" w:eastAsia="SimSun" w:cs="SimSun"/>
          <w:color w:val="000000"/>
          <w:sz w:val="21"/>
          <w:u w:val="single"/>
        </w:rPr>
        <w:t xml:space="preserve">（建筑业）</w:t>
      </w:r>
      <w:r>
        <w:rPr>
          <w:rFonts w:ascii="SimSun" w:hAnsi="SimSun" w:eastAsia="SimSun" w:cs="SimSun"/>
          <w:color w:val="000000"/>
          <w:sz w:val="21"/>
        </w:rPr>
        <w:t xml:space="preserve">； 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，从业人员人，营业收入为万元，资产总额为万元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 小型企业、微型企业）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420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企业名称（签章）：</w:t>
      </w:r>
      <w:r/>
    </w:p>
    <w:p>
      <w:pPr>
        <w:ind w:left="420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备注：1.从业人员、营业收入、资产总额填报上一年度数据，无上一年度数据的新成立企业可不填报。</w:t>
      </w:r>
      <w:r/>
    </w:p>
    <w:p>
      <w:pPr>
        <w:ind w:left="0" w:right="0" w:firstLine="630"/>
        <w:jc w:val="both"/>
        <w:spacing w:before="0" w:after="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2.《中小企业声明函》中所填的行业应与本采购标的对应的中小企业划分标准所属行业一致，不一致的不可享受相应政策优惠。</w:t>
      </w:r>
      <w:r>
        <w:rPr>
          <w:rFonts w:ascii="SimSun" w:hAnsi="SimSun" w:eastAsia="SimSun" w:cs="SimSun"/>
          <w:b/>
          <w:color w:val="000000"/>
          <w:sz w:val="21"/>
        </w:rPr>
        <w:t xml:space="preserve">本采购标的对应的中小企业划分标准所属行业，以采购文件中具体规定为准。</w:t>
      </w:r>
      <w:r/>
    </w:p>
    <w:p>
      <w:pPr>
        <w:ind w:left="0" w:right="0" w:firstLine="632"/>
        <w:jc w:val="both"/>
        <w:spacing w:before="0" w:after="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3.如未对（中型企业、小型企业、微型企业）进行勾选，视同非中小微企业，不可享受相应扶持政策。</w:t>
      </w:r>
      <w:r/>
    </w:p>
    <w:p>
      <w:pPr>
        <w:ind w:left="840" w:right="0" w:hanging="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4.成交单位为中小企业的，《中小企业声明函》将随成交结果同时公告。</w:t>
      </w:r>
      <w:r/>
    </w:p>
    <w:p>
      <w:pPr>
        <w:ind w:left="840" w:right="0" w:hanging="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附：中小企业划型标准规定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（一）农、林、牧、渔业。</w:t>
      </w:r>
      <w:r>
        <w:rPr>
          <w:rFonts w:ascii="SimSun" w:hAnsi="SimSun" w:eastAsia="SimSun" w:cs="SimSun"/>
          <w:color w:val="000000"/>
          <w:sz w:val="21"/>
        </w:rPr>
        <w:t xml:space="preserve">营业收入20000万元以下的为中小微型企业。其中，营业收入500万元及以上的为中型企业，营业收入50万元及以上的为小型企业，营业收入50万元以下的为微型企业。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（二）工业。</w:t>
      </w:r>
      <w:r>
        <w:rPr>
          <w:rFonts w:ascii="SimSun" w:hAnsi="SimSun" w:eastAsia="SimSun" w:cs="SimSun"/>
          <w:color w:val="000000"/>
          <w:sz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（三）建筑业。</w:t>
      </w:r>
      <w:r>
        <w:rPr>
          <w:rFonts w:ascii="SimSun" w:hAnsi="SimSun" w:eastAsia="SimSun" w:cs="SimSun"/>
          <w:color w:val="000000"/>
          <w:sz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（四）批发业。</w:t>
      </w:r>
      <w:r>
        <w:rPr>
          <w:rFonts w:ascii="SimSun" w:hAnsi="SimSun" w:eastAsia="SimSun" w:cs="SimSun"/>
          <w:color w:val="000000"/>
          <w:sz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（五）零售业。</w:t>
      </w:r>
      <w:r>
        <w:rPr>
          <w:rFonts w:ascii="SimSun" w:hAnsi="SimSun" w:eastAsia="SimSun" w:cs="SimSun"/>
          <w:color w:val="000000"/>
          <w:sz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（六）交通运输业。</w:t>
      </w:r>
      <w:r>
        <w:rPr>
          <w:rFonts w:ascii="SimSun" w:hAnsi="SimSun" w:eastAsia="SimSun" w:cs="SimSun"/>
          <w:color w:val="000000"/>
          <w:sz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（七）仓储业。</w:t>
      </w:r>
      <w:r>
        <w:rPr>
          <w:rFonts w:ascii="SimSun" w:hAnsi="SimSun" w:eastAsia="SimSun" w:cs="SimSun"/>
          <w:color w:val="000000"/>
          <w:sz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（八）邮政业。</w:t>
      </w:r>
      <w:r>
        <w:rPr>
          <w:rFonts w:ascii="SimSun" w:hAnsi="SimSun" w:eastAsia="SimSun" w:cs="SimSun"/>
          <w:color w:val="000000"/>
          <w:sz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（九）住宿业。</w:t>
      </w:r>
      <w:r>
        <w:rPr>
          <w:rFonts w:ascii="SimSun" w:hAnsi="SimSun" w:eastAsia="SimSun" w:cs="SimSun"/>
          <w:color w:val="000000"/>
          <w:sz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（十）餐饮业。</w:t>
      </w:r>
      <w:r>
        <w:rPr>
          <w:rFonts w:ascii="SimSun" w:hAnsi="SimSun" w:eastAsia="SimSun" w:cs="SimSun"/>
          <w:color w:val="000000"/>
          <w:sz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（十一）信息传输业。</w:t>
      </w:r>
      <w:r>
        <w:rPr>
          <w:rFonts w:ascii="SimSun" w:hAnsi="SimSun" w:eastAsia="SimSun" w:cs="SimSun"/>
          <w:color w:val="000000"/>
          <w:sz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（十二）软件和信息技术服务业。</w:t>
      </w:r>
      <w:r>
        <w:rPr>
          <w:rFonts w:ascii="SimSun" w:hAnsi="SimSun" w:eastAsia="SimSun" w:cs="SimSun"/>
          <w:color w:val="000000"/>
          <w:sz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（十三）房地产开发经营。</w:t>
      </w:r>
      <w:r>
        <w:rPr>
          <w:rFonts w:ascii="SimSun" w:hAnsi="SimSun" w:eastAsia="SimSun" w:cs="SimSun"/>
          <w:color w:val="000000"/>
          <w:sz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（十四）物业管理。</w:t>
      </w:r>
      <w:r>
        <w:rPr>
          <w:rFonts w:ascii="SimSun" w:hAnsi="SimSun" w:eastAsia="SimSun" w:cs="SimSun"/>
          <w:color w:val="000000"/>
          <w:sz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（十五）租赁和商务服务业。</w:t>
      </w:r>
      <w:r>
        <w:rPr>
          <w:rFonts w:ascii="SimSun" w:hAnsi="SimSun" w:eastAsia="SimSun" w:cs="SimSun"/>
          <w:color w:val="000000"/>
          <w:sz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（十六）其他未列明行业。</w:t>
      </w:r>
      <w:r>
        <w:rPr>
          <w:rFonts w:ascii="SimSun" w:hAnsi="SimSun" w:eastAsia="SimSun" w:cs="SimSun"/>
          <w:color w:val="000000"/>
          <w:sz w:val="21"/>
        </w:rPr>
        <w:t xml:space="preserve">从业人员300人以下的为中小微型企业。其中，从业人员100人及以上的为中型企业；从业人员10人及以上的为小型企业；从业人员10人以下的为微型企业。</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附件14：残疾人福利性单位声明函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1"/>
        </w:rPr>
        <w:t xml:space="preserve">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1"/>
        </w:rPr>
        <w:t xml:space="preserve"> </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本单位郑重声明，根据《财政部民政部中国残疾人联合会关于促进残疾人就业政府采购政策的通知》（财库</w:t>
      </w:r>
      <w:r>
        <w:rPr>
          <w:rFonts w:ascii="SimSun" w:hAnsi="SimSun" w:eastAsia="SimSun" w:cs="SimSun"/>
          <w:color w:val="000000"/>
          <w:sz w:val="21"/>
        </w:rPr>
        <w:t xml:space="preserve">〔2017〕141</w:t>
      </w:r>
      <w:r>
        <w:rPr>
          <w:rFonts w:ascii="SimSun" w:hAnsi="SimSun" w:eastAsia="SimSun" w:cs="SimSun"/>
          <w:color w:val="000000"/>
          <w:spacing w:val="6"/>
          <w:sz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本单位对上述声明的真实性负责。如有虚假，将依法承担相应责任。</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420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单位名称（签章）：</w:t>
      </w:r>
      <w:r/>
    </w:p>
    <w:p>
      <w:pPr>
        <w:ind w:left="420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33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33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666" w:right="0" w:hanging="6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备注：1、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w:t>
      </w:r>
      <w:r>
        <w:rPr>
          <w:rFonts w:ascii="SimSun" w:hAnsi="SimSun" w:eastAsia="SimSun" w:cs="SimSun"/>
          <w:color w:val="000000"/>
          <w:spacing w:val="6"/>
          <w:sz w:val="21"/>
        </w:rPr>
        <w:t xml:space="preserve">社会监督。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（全文完）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r/>
      <w:r/>
    </w:p>
    <w:sectPr>
      <w:footerReference w:type="default" r:id="rId9"/>
      <w:footnotePr/>
      <w:endnotePr/>
      <w:type w:val="nextPage"/>
      <w:pgSz w:w="11906" w:h="16838" w:orient="portrait"/>
      <w:pgMar w:top="1134" w:right="1134" w:bottom="1134" w:left="1134" w:header="680"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imSun">
    <w:panose1 w:val="02010600030101010101"/>
  </w:font>
  <w:font w:name="Wingdings">
    <w:panose1 w:val="05000000000000000000"/>
  </w:font>
  <w:font w:name="EU-F1">
    <w:panose1 w:val="020B0503020202020204"/>
  </w:font>
  <w:font w:name="Symbol">
    <w:panose1 w:val="05050102010706020507"/>
  </w:font>
  <w:font w:name="新宋体">
    <w:panose1 w:val="02010609030101010101"/>
  </w:font>
  <w:font w:name="Tahoma">
    <w:panose1 w:val="020B0604030504040204"/>
  </w:font>
  <w:font w:name="仿宋">
    <w:panose1 w:val="02010609060101010101"/>
  </w:font>
  <w:font w:name="Calibri">
    <w:panose1 w:val="020F0502020204030204"/>
  </w:font>
  <w:font w:name="Cambria">
    <w:panose1 w:val="02040503050406030204"/>
  </w:font>
  <w:font w:name="Courier New">
    <w:panose1 w:val="02070309020205020404"/>
  </w:font>
  <w:font w:name="Arial Unicode MS">
    <w:panose1 w:val="020B0604020202020204"/>
  </w:font>
  <w:font w:name="STZhongsong">
    <w:panose1 w:val="02010600040101010101"/>
  </w:font>
  <w:font w:name="Arial">
    <w:panose1 w:val="020B0604020202020204"/>
  </w:font>
  <w:font w:name="仿宋_GB2312">
    <w:panose1 w:val="02010609060101010101"/>
  </w:font>
  <w:font w:name="Verdana">
    <w:panose1 w:val="020B0604030504040204"/>
  </w:font>
  <w:font w:name="黑体">
    <w:panose1 w:val="02010609060101010101"/>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60020"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0020" cy="131445"/>
                      </a:xfrm>
                      <a:prstGeom prst="rect">
                        <a:avLst/>
                      </a:prstGeom>
                      <a:noFill/>
                      <a:ln w="6350">
                        <a:noFill/>
                      </a:ln>
                    </wps:spPr>
                    <wps:txbx>
                      <w:txbxContent>
                        <w:p>
                          <w:pPr>
                            <w:pStyle w:val="782"/>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70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2.6pt;height:10.3pt;mso-wrap-distance-left:9.0pt;mso-wrap-distance-top:0.0pt;mso-wrap-distance-right:9.0pt;mso-wrap-distance-bottom:0.0pt;visibility:visible;" filled="f" stroked="f" strokeweight="0.50pt">
              <v:textbox inset="0,0,0,0">
                <w:txbxContent>
                  <w:p>
                    <w:pPr>
                      <w:pStyle w:val="782"/>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709"/>
                    </w:pPr>
                    <w:r/>
                    <w:r/>
                  </w:p>
                </w:txbxContent>
              </v:textbox>
            </v:shape>
          </w:pict>
        </mc:Fallback>
      </mc:AlternateContent>
    </w:r>
    <w:r/>
  </w:p>
  <w:p>
    <w:pPr>
      <w:pStyle w:val="78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pStyle w:val="709"/>
      </w:pPr>
    </w:lvl>
    <w:lvl w:ilvl="1">
      <w:start w:val="1"/>
      <w:numFmt w:val="bullet"/>
      <w:isLgl w:val="false"/>
      <w:suff w:val="tab"/>
      <w:lvlText w:val="o"/>
      <w:lvlJc w:val="left"/>
      <w:pPr>
        <w:pStyle w:val="709"/>
        <w:ind w:left="1440" w:hanging="360"/>
      </w:pPr>
      <w:rPr>
        <w:rFonts w:ascii="Courier New" w:hAnsi="Courier New" w:eastAsia="Courier New" w:cs="Courier New"/>
      </w:rPr>
    </w:lvl>
    <w:lvl w:ilvl="2">
      <w:start w:val="1"/>
      <w:numFmt w:val="bullet"/>
      <w:isLgl w:val="false"/>
      <w:suff w:val="tab"/>
      <w:lvlText w:val="§"/>
      <w:lvlJc w:val="left"/>
      <w:pPr>
        <w:pStyle w:val="709"/>
        <w:ind w:left="2160" w:hanging="360"/>
      </w:pPr>
      <w:rPr>
        <w:rFonts w:ascii="Wingdings" w:hAnsi="Wingdings" w:eastAsia="Wingdings" w:cs="Wingdings"/>
      </w:rPr>
    </w:lvl>
    <w:lvl w:ilvl="3">
      <w:start w:val="1"/>
      <w:numFmt w:val="bullet"/>
      <w:isLgl w:val="false"/>
      <w:suff w:val="tab"/>
      <w:lvlText w:val="·"/>
      <w:lvlJc w:val="left"/>
      <w:pPr>
        <w:pStyle w:val="709"/>
        <w:ind w:left="2880" w:hanging="360"/>
      </w:pPr>
      <w:rPr>
        <w:rFonts w:ascii="Symbol" w:hAnsi="Symbol" w:eastAsia="Symbol" w:cs="Symbol"/>
      </w:rPr>
    </w:lvl>
    <w:lvl w:ilvl="4">
      <w:start w:val="1"/>
      <w:numFmt w:val="bullet"/>
      <w:isLgl w:val="false"/>
      <w:suff w:val="tab"/>
      <w:lvlText w:val="o"/>
      <w:lvlJc w:val="left"/>
      <w:pPr>
        <w:pStyle w:val="709"/>
        <w:ind w:left="3600" w:hanging="360"/>
      </w:pPr>
      <w:rPr>
        <w:rFonts w:ascii="Courier New" w:hAnsi="Courier New" w:eastAsia="Courier New" w:cs="Courier New"/>
      </w:rPr>
    </w:lvl>
    <w:lvl w:ilvl="5">
      <w:start w:val="1"/>
      <w:numFmt w:val="bullet"/>
      <w:isLgl w:val="false"/>
      <w:suff w:val="tab"/>
      <w:lvlText w:val="§"/>
      <w:lvlJc w:val="left"/>
      <w:pPr>
        <w:pStyle w:val="709"/>
        <w:ind w:left="4320" w:hanging="360"/>
      </w:pPr>
      <w:rPr>
        <w:rFonts w:ascii="Wingdings" w:hAnsi="Wingdings" w:eastAsia="Wingdings" w:cs="Wingdings"/>
      </w:rPr>
    </w:lvl>
    <w:lvl w:ilvl="6">
      <w:start w:val="1"/>
      <w:numFmt w:val="bullet"/>
      <w:isLgl w:val="false"/>
      <w:suff w:val="tab"/>
      <w:lvlText w:val="·"/>
      <w:lvlJc w:val="left"/>
      <w:pPr>
        <w:pStyle w:val="709"/>
        <w:ind w:left="5040" w:hanging="360"/>
      </w:pPr>
      <w:rPr>
        <w:rFonts w:ascii="Symbol" w:hAnsi="Symbol" w:eastAsia="Symbol" w:cs="Symbol"/>
      </w:rPr>
    </w:lvl>
    <w:lvl w:ilvl="7">
      <w:start w:val="1"/>
      <w:numFmt w:val="bullet"/>
      <w:isLgl w:val="false"/>
      <w:suff w:val="tab"/>
      <w:lvlText w:val="o"/>
      <w:lvlJc w:val="left"/>
      <w:pPr>
        <w:pStyle w:val="709"/>
        <w:ind w:left="5760" w:hanging="360"/>
      </w:pPr>
      <w:rPr>
        <w:rFonts w:ascii="Courier New" w:hAnsi="Courier New" w:eastAsia="Courier New" w:cs="Courier New"/>
      </w:rPr>
    </w:lvl>
    <w:lvl w:ilvl="8">
      <w:start w:val="1"/>
      <w:numFmt w:val="bullet"/>
      <w:isLgl w:val="false"/>
      <w:suff w:val="tab"/>
      <w:lvlText w:val="§"/>
      <w:lvlJc w:val="left"/>
      <w:pPr>
        <w:pStyle w:val="709"/>
        <w:ind w:left="6480" w:hanging="360"/>
      </w:pPr>
      <w:rPr>
        <w:rFonts w:ascii="Wingdings" w:hAnsi="Wingdings" w:eastAsia="Wingdings" w:cs="Wingdings"/>
      </w:rPr>
    </w:lvl>
  </w:abstractNum>
  <w:abstractNum w:abstractNumId="1">
    <w:multiLevelType w:val="hybridMultilevel"/>
    <w:lvl w:ilvl="0">
      <w:start w:val="2"/>
      <w:numFmt w:val="japaneseCounting"/>
      <w:pStyle w:val="752"/>
      <w:isLgl w:val="false"/>
      <w:suff w:val="tab"/>
      <w:lvlText w:val="（%1）"/>
      <w:lvlJc w:val="left"/>
      <w:pPr>
        <w:pStyle w:val="709"/>
        <w:ind w:left="1140" w:hanging="720"/>
        <w:tabs>
          <w:tab w:val="num" w:pos="1140" w:leader="none"/>
        </w:tabs>
      </w:pPr>
      <w:rPr>
        <w:rFonts w:hint="eastAsia"/>
        <w:b w:val="0"/>
      </w:rPr>
    </w:lvl>
    <w:lvl w:ilvl="1">
      <w:start w:val="1"/>
      <w:numFmt w:val="lowerLetter"/>
      <w:isLgl w:val="false"/>
      <w:suff w:val="tab"/>
      <w:lvlText w:val="%2)"/>
      <w:lvlJc w:val="left"/>
      <w:pPr>
        <w:pStyle w:val="709"/>
        <w:ind w:left="1260" w:hanging="420"/>
        <w:tabs>
          <w:tab w:val="num" w:pos="1260" w:leader="none"/>
        </w:tabs>
      </w:pPr>
    </w:lvl>
    <w:lvl w:ilvl="2">
      <w:start w:val="1"/>
      <w:numFmt w:val="lowerRoman"/>
      <w:isLgl w:val="false"/>
      <w:suff w:val="tab"/>
      <w:lvlText w:val="%3."/>
      <w:lvlJc w:val="right"/>
      <w:pPr>
        <w:pStyle w:val="709"/>
        <w:ind w:left="1680" w:hanging="420"/>
        <w:tabs>
          <w:tab w:val="num" w:pos="1680" w:leader="none"/>
        </w:tabs>
      </w:pPr>
    </w:lvl>
    <w:lvl w:ilvl="3">
      <w:start w:val="1"/>
      <w:numFmt w:val="decimal"/>
      <w:isLgl w:val="false"/>
      <w:suff w:val="tab"/>
      <w:lvlText w:val="%4."/>
      <w:lvlJc w:val="left"/>
      <w:pPr>
        <w:pStyle w:val="709"/>
        <w:ind w:left="2100" w:hanging="420"/>
        <w:tabs>
          <w:tab w:val="num" w:pos="2100" w:leader="none"/>
        </w:tabs>
      </w:pPr>
    </w:lvl>
    <w:lvl w:ilvl="4">
      <w:start w:val="1"/>
      <w:numFmt w:val="lowerLetter"/>
      <w:isLgl w:val="false"/>
      <w:suff w:val="tab"/>
      <w:lvlText w:val="%5)"/>
      <w:lvlJc w:val="left"/>
      <w:pPr>
        <w:pStyle w:val="709"/>
        <w:ind w:left="2520" w:hanging="420"/>
        <w:tabs>
          <w:tab w:val="num" w:pos="2520" w:leader="none"/>
        </w:tabs>
      </w:pPr>
    </w:lvl>
    <w:lvl w:ilvl="5">
      <w:start w:val="1"/>
      <w:numFmt w:val="lowerRoman"/>
      <w:isLgl w:val="false"/>
      <w:suff w:val="tab"/>
      <w:lvlText w:val="%6."/>
      <w:lvlJc w:val="right"/>
      <w:pPr>
        <w:pStyle w:val="709"/>
        <w:ind w:left="2940" w:hanging="420"/>
        <w:tabs>
          <w:tab w:val="num" w:pos="2940" w:leader="none"/>
        </w:tabs>
      </w:pPr>
    </w:lvl>
    <w:lvl w:ilvl="6">
      <w:start w:val="1"/>
      <w:numFmt w:val="decimal"/>
      <w:isLgl w:val="false"/>
      <w:suff w:val="tab"/>
      <w:lvlText w:val="%7."/>
      <w:lvlJc w:val="left"/>
      <w:pPr>
        <w:pStyle w:val="709"/>
        <w:ind w:left="3360" w:hanging="420"/>
        <w:tabs>
          <w:tab w:val="num" w:pos="3360" w:leader="none"/>
        </w:tabs>
      </w:pPr>
    </w:lvl>
    <w:lvl w:ilvl="7">
      <w:start w:val="1"/>
      <w:numFmt w:val="lowerLetter"/>
      <w:isLgl w:val="false"/>
      <w:suff w:val="tab"/>
      <w:lvlText w:val="%8)"/>
      <w:lvlJc w:val="left"/>
      <w:pPr>
        <w:pStyle w:val="709"/>
        <w:ind w:left="3780" w:hanging="420"/>
        <w:tabs>
          <w:tab w:val="num" w:pos="3780" w:leader="none"/>
        </w:tabs>
      </w:pPr>
    </w:lvl>
    <w:lvl w:ilvl="8">
      <w:start w:val="1"/>
      <w:numFmt w:val="lowerRoman"/>
      <w:isLgl w:val="false"/>
      <w:suff w:val="tab"/>
      <w:lvlText w:val="%9."/>
      <w:lvlJc w:val="right"/>
      <w:pPr>
        <w:pStyle w:val="709"/>
        <w:ind w:left="4200" w:hanging="420"/>
        <w:tabs>
          <w:tab w:val="num" w:pos="4200" w:leader="none"/>
        </w:tabs>
      </w:pPr>
    </w:lvl>
  </w:abstractNum>
  <w:abstractNum w:abstractNumId="2">
    <w:multiLevelType w:val="hybridMultilevel"/>
    <w:lvl w:ilvl="0">
      <w:start w:val="1"/>
      <w:numFmt w:val="decimal"/>
      <w:isLgl w:val="false"/>
      <w:suff w:val="tab"/>
      <w:lvlText w:val="（%1）"/>
      <w:lvlJc w:val="left"/>
      <w:pPr>
        <w:pStyle w:val="709"/>
        <w:ind w:left="945" w:hanging="525"/>
      </w:pPr>
    </w:lvl>
    <w:lvl w:ilvl="1">
      <w:start w:val="1"/>
      <w:numFmt w:val="lowerLetter"/>
      <w:isLgl w:val="false"/>
      <w:suff w:val="tab"/>
      <w:lvlText w:val="%2)"/>
      <w:lvlJc w:val="left"/>
      <w:pPr>
        <w:pStyle w:val="709"/>
        <w:ind w:left="1264" w:hanging="420"/>
      </w:pPr>
    </w:lvl>
    <w:lvl w:ilvl="2">
      <w:start w:val="1"/>
      <w:numFmt w:val="lowerRoman"/>
      <w:isLgl w:val="false"/>
      <w:suff w:val="tab"/>
      <w:lvlText w:val="%3."/>
      <w:lvlJc w:val="right"/>
      <w:pPr>
        <w:pStyle w:val="709"/>
        <w:ind w:left="1684" w:hanging="420"/>
      </w:pPr>
    </w:lvl>
    <w:lvl w:ilvl="3">
      <w:start w:val="1"/>
      <w:numFmt w:val="decimal"/>
      <w:isLgl w:val="false"/>
      <w:suff w:val="tab"/>
      <w:lvlText w:val="%4."/>
      <w:lvlJc w:val="left"/>
      <w:pPr>
        <w:pStyle w:val="709"/>
        <w:ind w:left="2104" w:hanging="420"/>
      </w:pPr>
    </w:lvl>
    <w:lvl w:ilvl="4">
      <w:start w:val="1"/>
      <w:numFmt w:val="lowerLetter"/>
      <w:isLgl w:val="false"/>
      <w:suff w:val="tab"/>
      <w:lvlText w:val="%5)"/>
      <w:lvlJc w:val="left"/>
      <w:pPr>
        <w:pStyle w:val="709"/>
        <w:ind w:left="2524" w:hanging="420"/>
      </w:pPr>
    </w:lvl>
    <w:lvl w:ilvl="5">
      <w:start w:val="1"/>
      <w:numFmt w:val="lowerRoman"/>
      <w:isLgl w:val="false"/>
      <w:suff w:val="tab"/>
      <w:lvlText w:val="%6."/>
      <w:lvlJc w:val="right"/>
      <w:pPr>
        <w:pStyle w:val="709"/>
        <w:ind w:left="2944" w:hanging="420"/>
      </w:pPr>
    </w:lvl>
    <w:lvl w:ilvl="6">
      <w:start w:val="1"/>
      <w:numFmt w:val="decimal"/>
      <w:isLgl w:val="false"/>
      <w:suff w:val="tab"/>
      <w:lvlText w:val="%7."/>
      <w:lvlJc w:val="left"/>
      <w:pPr>
        <w:pStyle w:val="709"/>
        <w:ind w:left="3364" w:hanging="420"/>
      </w:pPr>
    </w:lvl>
    <w:lvl w:ilvl="7">
      <w:start w:val="1"/>
      <w:numFmt w:val="lowerLetter"/>
      <w:isLgl w:val="false"/>
      <w:suff w:val="tab"/>
      <w:lvlText w:val="%8)"/>
      <w:lvlJc w:val="left"/>
      <w:pPr>
        <w:pStyle w:val="709"/>
        <w:ind w:left="3784" w:hanging="420"/>
      </w:pPr>
    </w:lvl>
    <w:lvl w:ilvl="8">
      <w:start w:val="1"/>
      <w:numFmt w:val="lowerRoman"/>
      <w:isLgl w:val="false"/>
      <w:suff w:val="tab"/>
      <w:lvlText w:val="%9."/>
      <w:lvlJc w:val="right"/>
      <w:pPr>
        <w:pStyle w:val="709"/>
        <w:ind w:left="4204" w:hanging="420"/>
      </w:pPr>
    </w:lvl>
  </w:abstractNum>
  <w:abstractNum w:abstractNumId="3">
    <w:multiLevelType w:val="hybridMultilevel"/>
    <w:lvl w:ilvl="0">
      <w:start w:val="1"/>
      <w:numFmt w:val="japaneseCounting"/>
      <w:pStyle w:val="941"/>
      <w:isLgl w:val="false"/>
      <w:suff w:val="tab"/>
      <w:lvlText w:val="%1、"/>
      <w:lvlJc w:val="left"/>
      <w:pPr>
        <w:pStyle w:val="709"/>
        <w:ind w:left="420" w:hanging="420"/>
        <w:tabs>
          <w:tab w:val="num" w:pos="420" w:leader="none"/>
        </w:tabs>
      </w:pPr>
      <w:rPr>
        <w:rFonts w:hint="eastAsia"/>
      </w:rPr>
    </w:lvl>
    <w:lvl w:ilvl="1">
      <w:start w:val="1"/>
      <w:numFmt w:val="decimal"/>
      <w:isLgl w:val="false"/>
      <w:suff w:val="tab"/>
      <w:lvlText w:val="%2、"/>
      <w:lvlJc w:val="left"/>
      <w:pPr>
        <w:pStyle w:val="709"/>
        <w:ind w:left="780" w:hanging="360"/>
        <w:tabs>
          <w:tab w:val="num" w:pos="780" w:leader="none"/>
        </w:tabs>
      </w:pPr>
      <w:rPr>
        <w:rFonts w:hint="eastAsia"/>
      </w:rPr>
    </w:lvl>
    <w:lvl w:ilvl="2">
      <w:start w:val="1"/>
      <w:numFmt w:val="lowerRoman"/>
      <w:isLgl w:val="false"/>
      <w:suff w:val="tab"/>
      <w:lvlText w:val="%3."/>
      <w:lvlJc w:val="right"/>
      <w:pPr>
        <w:pStyle w:val="709"/>
        <w:ind w:left="1260" w:hanging="420"/>
        <w:tabs>
          <w:tab w:val="num" w:pos="1260" w:leader="none"/>
        </w:tabs>
      </w:pPr>
    </w:lvl>
    <w:lvl w:ilvl="3">
      <w:start w:val="1"/>
      <w:numFmt w:val="decimal"/>
      <w:isLgl w:val="false"/>
      <w:suff w:val="tab"/>
      <w:lvlText w:val="%4."/>
      <w:lvlJc w:val="left"/>
      <w:pPr>
        <w:pStyle w:val="709"/>
        <w:ind w:left="1680" w:hanging="420"/>
        <w:tabs>
          <w:tab w:val="num" w:pos="1680" w:leader="none"/>
        </w:tabs>
      </w:pPr>
    </w:lvl>
    <w:lvl w:ilvl="4">
      <w:start w:val="1"/>
      <w:numFmt w:val="lowerLetter"/>
      <w:isLgl w:val="false"/>
      <w:suff w:val="tab"/>
      <w:lvlText w:val="%5)"/>
      <w:lvlJc w:val="left"/>
      <w:pPr>
        <w:pStyle w:val="709"/>
        <w:ind w:left="2100" w:hanging="420"/>
        <w:tabs>
          <w:tab w:val="num" w:pos="2100" w:leader="none"/>
        </w:tabs>
      </w:pPr>
    </w:lvl>
    <w:lvl w:ilvl="5">
      <w:start w:val="1"/>
      <w:numFmt w:val="lowerRoman"/>
      <w:isLgl w:val="false"/>
      <w:suff w:val="tab"/>
      <w:lvlText w:val="%6."/>
      <w:lvlJc w:val="right"/>
      <w:pPr>
        <w:pStyle w:val="709"/>
        <w:ind w:left="2520" w:hanging="420"/>
        <w:tabs>
          <w:tab w:val="num" w:pos="2520" w:leader="none"/>
        </w:tabs>
      </w:pPr>
    </w:lvl>
    <w:lvl w:ilvl="6">
      <w:start w:val="1"/>
      <w:numFmt w:val="decimal"/>
      <w:isLgl w:val="false"/>
      <w:suff w:val="tab"/>
      <w:lvlText w:val="%7."/>
      <w:lvlJc w:val="left"/>
      <w:pPr>
        <w:pStyle w:val="709"/>
        <w:ind w:left="2940" w:hanging="420"/>
        <w:tabs>
          <w:tab w:val="num" w:pos="2940" w:leader="none"/>
        </w:tabs>
      </w:pPr>
    </w:lvl>
    <w:lvl w:ilvl="7">
      <w:start w:val="1"/>
      <w:numFmt w:val="lowerLetter"/>
      <w:isLgl w:val="false"/>
      <w:suff w:val="tab"/>
      <w:lvlText w:val="%8)"/>
      <w:lvlJc w:val="left"/>
      <w:pPr>
        <w:pStyle w:val="709"/>
        <w:ind w:left="3360" w:hanging="420"/>
        <w:tabs>
          <w:tab w:val="num" w:pos="3360" w:leader="none"/>
        </w:tabs>
      </w:pPr>
    </w:lvl>
    <w:lvl w:ilvl="8">
      <w:start w:val="1"/>
      <w:numFmt w:val="lowerRoman"/>
      <w:isLgl w:val="false"/>
      <w:suff w:val="tab"/>
      <w:lvlText w:val="%9."/>
      <w:lvlJc w:val="right"/>
      <w:pPr>
        <w:pStyle w:val="709"/>
        <w:ind w:left="3780" w:hanging="420"/>
        <w:tabs>
          <w:tab w:val="num" w:pos="3780" w:leader="none"/>
        </w:tabs>
      </w:pPr>
    </w:lvl>
  </w:abstractNum>
  <w:abstractNum w:abstractNumId="4">
    <w:multiLevelType w:val="hybridMultilevel"/>
    <w:lvl w:ilvl="0">
      <w:start w:val="1"/>
      <w:numFmt w:val="decimal"/>
      <w:isLgl w:val="false"/>
      <w:suff w:val="tab"/>
      <w:lvlText w:val="（%1）"/>
      <w:lvlJc w:val="left"/>
      <w:pPr>
        <w:ind w:left="945" w:hanging="525"/>
      </w:pPr>
    </w:lvl>
    <w:lvl w:ilvl="1">
      <w:start w:val="1"/>
      <w:numFmt w:val="lowerLetter"/>
      <w:isLgl w:val="false"/>
      <w:suff w:val="tab"/>
      <w:lvlText w:val="%2)"/>
      <w:lvlJc w:val="left"/>
      <w:pPr>
        <w:ind w:left="1264" w:hanging="420"/>
      </w:pPr>
    </w:lvl>
    <w:lvl w:ilvl="2">
      <w:start w:val="1"/>
      <w:numFmt w:val="decimal"/>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decimal"/>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decimal"/>
      <w:isLgl w:val="false"/>
      <w:suff w:val="tab"/>
      <w:lvlText w:val="%9."/>
      <w:lvlJc w:val="right"/>
      <w:pPr>
        <w:ind w:left="4204" w:hanging="420"/>
      </w:pPr>
    </w:lvl>
  </w:abstractNum>
  <w:abstractNum w:abstractNumId="5">
    <w:multiLevelType w:val="hybridMultilevel"/>
    <w:lvl w:ilvl="0">
      <w:start w:val="10"/>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name w:val="Title"/>
    <w:basedOn w:val="709"/>
    <w:next w:val="709"/>
    <w:link w:val="792"/>
    <w:uiPriority w:val="10"/>
    <w:qFormat/>
    <w:pPr>
      <w:contextualSpacing/>
      <w:spacing w:before="300" w:after="200"/>
    </w:pPr>
    <w:rPr>
      <w:sz w:val="48"/>
      <w:szCs w:val="48"/>
    </w:rPr>
  </w:style>
  <w:style w:type="paragraph" w:styleId="689">
    <w:name w:val="Subtitle"/>
    <w:basedOn w:val="709"/>
    <w:next w:val="709"/>
    <w:link w:val="793"/>
    <w:uiPriority w:val="11"/>
    <w:qFormat/>
    <w:pPr>
      <w:spacing w:before="200" w:after="200"/>
    </w:pPr>
    <w:rPr>
      <w:sz w:val="24"/>
      <w:szCs w:val="24"/>
    </w:rPr>
  </w:style>
  <w:style w:type="paragraph" w:styleId="690">
    <w:name w:val="Header"/>
    <w:basedOn w:val="709"/>
    <w:link w:val="798"/>
    <w:uiPriority w:val="99"/>
    <w:unhideWhenUsed/>
    <w:pPr>
      <w:spacing w:after="0" w:line="240" w:lineRule="auto"/>
      <w:tabs>
        <w:tab w:val="center" w:pos="7143" w:leader="none"/>
        <w:tab w:val="right" w:pos="14287" w:leader="none"/>
      </w:tabs>
    </w:pPr>
  </w:style>
  <w:style w:type="paragraph" w:styleId="691">
    <w:name w:val="Footer"/>
    <w:basedOn w:val="709"/>
    <w:link w:val="800"/>
    <w:uiPriority w:val="99"/>
    <w:unhideWhenUsed/>
    <w:pPr>
      <w:spacing w:after="0" w:line="240" w:lineRule="auto"/>
      <w:tabs>
        <w:tab w:val="center" w:pos="7143" w:leader="none"/>
        <w:tab w:val="right" w:pos="14287" w:leader="none"/>
      </w:tabs>
    </w:pPr>
  </w:style>
  <w:style w:type="paragraph" w:styleId="692">
    <w:name w:val="Caption"/>
    <w:basedOn w:val="709"/>
    <w:next w:val="709"/>
    <w:uiPriority w:val="35"/>
    <w:semiHidden/>
    <w:unhideWhenUsed/>
    <w:qFormat/>
    <w:pPr>
      <w:spacing w:line="276" w:lineRule="auto"/>
    </w:pPr>
    <w:rPr>
      <w:b/>
      <w:bCs/>
      <w:color w:val="4f81bd" w:themeColor="accent1"/>
      <w:sz w:val="18"/>
      <w:szCs w:val="18"/>
    </w:rPr>
  </w:style>
  <w:style w:type="table" w:styleId="69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4">
    <w:name w:val="Hyperlink"/>
    <w:uiPriority w:val="99"/>
    <w:unhideWhenUsed/>
    <w:rPr>
      <w:color w:val="0000ff" w:themeColor="hyperlink"/>
      <w:u w:val="single"/>
    </w:rPr>
  </w:style>
  <w:style w:type="paragraph" w:styleId="695">
    <w:name w:val="footnote text"/>
    <w:basedOn w:val="709"/>
    <w:link w:val="926"/>
    <w:uiPriority w:val="99"/>
    <w:semiHidden/>
    <w:unhideWhenUsed/>
    <w:pPr>
      <w:spacing w:after="40" w:line="240" w:lineRule="auto"/>
    </w:pPr>
    <w:rPr>
      <w:sz w:val="18"/>
    </w:rPr>
  </w:style>
  <w:style w:type="character" w:styleId="696">
    <w:name w:val="footnote reference"/>
    <w:uiPriority w:val="99"/>
    <w:unhideWhenUsed/>
    <w:rPr>
      <w:vertAlign w:val="superscript"/>
    </w:rPr>
  </w:style>
  <w:style w:type="paragraph" w:styleId="697">
    <w:name w:val="endnote text"/>
    <w:basedOn w:val="709"/>
    <w:link w:val="738"/>
    <w:uiPriority w:val="99"/>
    <w:semiHidden/>
    <w:unhideWhenUsed/>
    <w:pPr>
      <w:spacing w:after="0" w:line="240" w:lineRule="auto"/>
    </w:pPr>
    <w:rPr>
      <w:sz w:val="20"/>
    </w:rPr>
  </w:style>
  <w:style w:type="character" w:styleId="698">
    <w:name w:val="endnote reference"/>
    <w:uiPriority w:val="99"/>
    <w:semiHidden/>
    <w:unhideWhenUsed/>
    <w:rPr>
      <w:vertAlign w:val="superscript"/>
    </w:rPr>
  </w:style>
  <w:style w:type="paragraph" w:styleId="699">
    <w:name w:val="toc 1"/>
    <w:basedOn w:val="709"/>
    <w:next w:val="709"/>
    <w:uiPriority w:val="39"/>
    <w:unhideWhenUsed/>
    <w:pPr>
      <w:ind w:left="0" w:right="0" w:firstLine="0"/>
      <w:spacing w:after="57"/>
    </w:pPr>
  </w:style>
  <w:style w:type="paragraph" w:styleId="700">
    <w:name w:val="toc 2"/>
    <w:basedOn w:val="709"/>
    <w:next w:val="709"/>
    <w:uiPriority w:val="39"/>
    <w:unhideWhenUsed/>
    <w:pPr>
      <w:ind w:left="283" w:right="0" w:firstLine="0"/>
      <w:spacing w:after="57"/>
    </w:pPr>
  </w:style>
  <w:style w:type="paragraph" w:styleId="701">
    <w:name w:val="toc 3"/>
    <w:basedOn w:val="709"/>
    <w:next w:val="709"/>
    <w:uiPriority w:val="39"/>
    <w:unhideWhenUsed/>
    <w:pPr>
      <w:ind w:left="567" w:right="0" w:firstLine="0"/>
      <w:spacing w:after="57"/>
    </w:pPr>
  </w:style>
  <w:style w:type="paragraph" w:styleId="702">
    <w:name w:val="toc 4"/>
    <w:basedOn w:val="709"/>
    <w:next w:val="709"/>
    <w:uiPriority w:val="39"/>
    <w:unhideWhenUsed/>
    <w:pPr>
      <w:ind w:left="850" w:right="0" w:firstLine="0"/>
      <w:spacing w:after="57"/>
    </w:pPr>
  </w:style>
  <w:style w:type="paragraph" w:styleId="703">
    <w:name w:val="toc 5"/>
    <w:basedOn w:val="709"/>
    <w:next w:val="709"/>
    <w:uiPriority w:val="39"/>
    <w:unhideWhenUsed/>
    <w:pPr>
      <w:ind w:left="1134" w:right="0" w:firstLine="0"/>
      <w:spacing w:after="57"/>
    </w:pPr>
  </w:style>
  <w:style w:type="paragraph" w:styleId="704">
    <w:name w:val="toc 6"/>
    <w:basedOn w:val="709"/>
    <w:next w:val="709"/>
    <w:uiPriority w:val="39"/>
    <w:unhideWhenUsed/>
    <w:pPr>
      <w:ind w:left="1417" w:right="0" w:firstLine="0"/>
      <w:spacing w:after="57"/>
    </w:pPr>
  </w:style>
  <w:style w:type="paragraph" w:styleId="705">
    <w:name w:val="toc 7"/>
    <w:basedOn w:val="709"/>
    <w:next w:val="709"/>
    <w:uiPriority w:val="39"/>
    <w:unhideWhenUsed/>
    <w:pPr>
      <w:ind w:left="1701" w:right="0" w:firstLine="0"/>
      <w:spacing w:after="57"/>
    </w:pPr>
  </w:style>
  <w:style w:type="paragraph" w:styleId="706">
    <w:name w:val="toc 8"/>
    <w:basedOn w:val="709"/>
    <w:next w:val="709"/>
    <w:uiPriority w:val="39"/>
    <w:unhideWhenUsed/>
    <w:pPr>
      <w:ind w:left="1984" w:right="0" w:firstLine="0"/>
      <w:spacing w:after="57"/>
    </w:pPr>
  </w:style>
  <w:style w:type="paragraph" w:styleId="707">
    <w:name w:val="toc 9"/>
    <w:basedOn w:val="709"/>
    <w:next w:val="709"/>
    <w:uiPriority w:val="39"/>
    <w:unhideWhenUsed/>
    <w:pPr>
      <w:ind w:left="2268" w:right="0" w:firstLine="0"/>
      <w:spacing w:after="57"/>
    </w:pPr>
  </w:style>
  <w:style w:type="paragraph" w:styleId="708">
    <w:name w:val="table of figures"/>
    <w:basedOn w:val="709"/>
    <w:next w:val="709"/>
    <w:uiPriority w:val="99"/>
    <w:unhideWhenUsed/>
    <w:pPr>
      <w:spacing w:after="0" w:afterAutospacing="0"/>
    </w:pPr>
  </w:style>
  <w:style w:type="paragraph" w:styleId="709" w:default="1">
    <w:name w:val="Normal"/>
    <w:next w:val="709"/>
    <w:link w:val="709"/>
    <w:qFormat/>
    <w:pPr>
      <w:jc w:val="both"/>
      <w:widowControl w:val="off"/>
    </w:pPr>
    <w:rPr>
      <w:sz w:val="21"/>
      <w:szCs w:val="24"/>
    </w:rPr>
  </w:style>
  <w:style w:type="character" w:styleId="710">
    <w:name w:val="默认段落字体"/>
    <w:next w:val="710"/>
    <w:link w:val="709"/>
    <w:uiPriority w:val="1"/>
    <w:unhideWhenUsed/>
    <w:qFormat/>
  </w:style>
  <w:style w:type="table" w:styleId="711">
    <w:name w:val="普通表格"/>
    <w:next w:val="711"/>
    <w:link w:val="709"/>
    <w:uiPriority w:val="99"/>
    <w:unhideWhenUsed/>
    <w:qFormat/>
    <w:tblPr/>
  </w:style>
  <w:style w:type="paragraph" w:styleId="712">
    <w:name w:val="目录 7"/>
    <w:basedOn w:val="709"/>
    <w:next w:val="709"/>
    <w:link w:val="709"/>
    <w:uiPriority w:val="39"/>
    <w:unhideWhenUsed/>
    <w:qFormat/>
    <w:pPr>
      <w:ind w:left="1701" w:right="0" w:firstLine="0"/>
      <w:spacing w:after="57"/>
    </w:pPr>
  </w:style>
  <w:style w:type="paragraph" w:styleId="713">
    <w:name w:val="正文缩进"/>
    <w:basedOn w:val="709"/>
    <w:next w:val="709"/>
    <w:link w:val="714"/>
    <w:qFormat/>
    <w:pPr>
      <w:ind w:firstLine="420"/>
      <w:jc w:val="left"/>
      <w:widowControl/>
    </w:pPr>
    <w:rPr>
      <w:rFonts w:eastAsia="楷体_GB2312"/>
      <w:sz w:val="24"/>
      <w:szCs w:val="20"/>
    </w:rPr>
  </w:style>
  <w:style w:type="character" w:styleId="714">
    <w:name w:val="正文缩进 Char"/>
    <w:next w:val="714"/>
    <w:link w:val="713"/>
    <w:qFormat/>
    <w:rPr>
      <w:rFonts w:eastAsia="楷体_GB2312"/>
      <w:sz w:val="24"/>
      <w:lang w:val="en-US" w:eastAsia="zh-CN" w:bidi="ar-SA"/>
    </w:rPr>
  </w:style>
  <w:style w:type="paragraph" w:styleId="715">
    <w:name w:val="文档结构图"/>
    <w:basedOn w:val="709"/>
    <w:next w:val="715"/>
    <w:link w:val="709"/>
    <w:semiHidden/>
    <w:qFormat/>
    <w:pPr>
      <w:shd w:val="clear" w:color="auto" w:fill="000080"/>
    </w:pPr>
  </w:style>
  <w:style w:type="paragraph" w:styleId="716">
    <w:name w:val="批注文字"/>
    <w:basedOn w:val="709"/>
    <w:next w:val="716"/>
    <w:link w:val="717"/>
    <w:uiPriority w:val="99"/>
    <w:qFormat/>
    <w:pPr>
      <w:jc w:val="left"/>
    </w:pPr>
  </w:style>
  <w:style w:type="character" w:styleId="717">
    <w:name w:val="批注文字 Char"/>
    <w:next w:val="717"/>
    <w:link w:val="716"/>
    <w:qFormat/>
    <w:rPr>
      <w:rFonts w:eastAsia="宋体"/>
      <w:sz w:val="21"/>
      <w:szCs w:val="24"/>
      <w:lang w:val="en-US" w:eastAsia="zh-CN" w:bidi="ar-SA"/>
    </w:rPr>
  </w:style>
  <w:style w:type="paragraph" w:styleId="718">
    <w:name w:val="索引 6"/>
    <w:basedOn w:val="709"/>
    <w:next w:val="709"/>
    <w:link w:val="709"/>
    <w:uiPriority w:val="99"/>
    <w:unhideWhenUsed/>
    <w:qFormat/>
    <w:pPr>
      <w:ind w:left="1000"/>
    </w:pPr>
  </w:style>
  <w:style w:type="paragraph" w:styleId="719">
    <w:name w:val="正文文本"/>
    <w:basedOn w:val="709"/>
    <w:next w:val="720"/>
    <w:link w:val="709"/>
    <w:qFormat/>
    <w:pPr>
      <w:spacing w:after="120"/>
    </w:pPr>
  </w:style>
  <w:style w:type="paragraph" w:styleId="720">
    <w:name w:val="一级条标题"/>
    <w:basedOn w:val="721"/>
    <w:next w:val="722"/>
    <w:link w:val="709"/>
    <w:qFormat/>
    <w:pPr>
      <w:ind w:left="3675"/>
      <w:outlineLvl w:val="2"/>
    </w:pPr>
    <w:rPr>
      <w:rFonts w:ascii="Times New Roman" w:hAnsi="Times New Roman" w:eastAsia="黑体"/>
      <w:sz w:val="21"/>
      <w:lang w:val="en-US" w:eastAsia="zh-CN" w:bidi="ar-SA"/>
    </w:rPr>
  </w:style>
  <w:style w:type="paragraph" w:styleId="721">
    <w:name w:val="章标题"/>
    <w:next w:val="709"/>
    <w:link w:val="709"/>
    <w:qFormat/>
    <w:pPr>
      <w:jc w:val="both"/>
      <w:outlineLvl w:val="1"/>
    </w:pPr>
    <w:rPr>
      <w:rFonts w:ascii="黑体" w:eastAsia="黑体"/>
      <w:sz w:val="21"/>
      <w:lang w:eastAsia="zh-CN"/>
    </w:rPr>
  </w:style>
  <w:style w:type="paragraph" w:styleId="722">
    <w:name w:val="段"/>
    <w:next w:val="709"/>
    <w:link w:val="709"/>
    <w:qFormat/>
    <w:pPr>
      <w:ind w:firstLine="200"/>
      <w:jc w:val="both"/>
    </w:pPr>
    <w:rPr>
      <w:rFonts w:ascii="宋体"/>
      <w:sz w:val="21"/>
    </w:rPr>
  </w:style>
  <w:style w:type="paragraph" w:styleId="723">
    <w:name w:val="正文文本缩进"/>
    <w:basedOn w:val="709"/>
    <w:next w:val="725"/>
    <w:link w:val="724"/>
    <w:qFormat/>
    <w:pPr>
      <w:ind w:left="420"/>
      <w:spacing w:after="120"/>
    </w:pPr>
  </w:style>
  <w:style w:type="character" w:styleId="724">
    <w:name w:val="正文文本缩进 Char"/>
    <w:basedOn w:val="710"/>
    <w:next w:val="724"/>
    <w:link w:val="723"/>
    <w:qFormat/>
    <w:rPr>
      <w:rFonts w:ascii="Times New Roman" w:hAnsi="Times New Roman"/>
      <w:sz w:val="21"/>
      <w:szCs w:val="24"/>
    </w:rPr>
  </w:style>
  <w:style w:type="paragraph" w:styleId="725">
    <w:name w:val="寄信人地址"/>
    <w:basedOn w:val="709"/>
    <w:next w:val="725"/>
    <w:link w:val="709"/>
    <w:qFormat/>
    <w:rPr>
      <w:rFonts w:ascii="Arial" w:hAnsi="Arial" w:eastAsia="楷体_GB2312"/>
      <w:sz w:val="26"/>
      <w:szCs w:val="20"/>
    </w:rPr>
  </w:style>
  <w:style w:type="paragraph" w:styleId="726">
    <w:name w:val="文本块"/>
    <w:basedOn w:val="727"/>
    <w:next w:val="709"/>
    <w:link w:val="709"/>
    <w:qFormat/>
    <w:pPr>
      <w:ind w:left="630" w:right="-609" w:firstLine="420"/>
      <w:spacing w:line="360" w:lineRule="auto"/>
    </w:pPr>
    <w:rPr>
      <w:rFonts w:hint="eastAsia" w:ascii="仿宋_GB2312" w:eastAsia="仿宋_GB2312"/>
      <w:szCs w:val="20"/>
    </w:rPr>
  </w:style>
  <w:style w:type="paragraph" w:styleId="727">
    <w:name w:val="Heading 1"/>
    <w:basedOn w:val="709"/>
    <w:next w:val="709"/>
    <w:link w:val="728"/>
    <w:qFormat/>
    <w:pPr>
      <w:keepLines/>
      <w:keepNext/>
      <w:spacing w:before="340" w:after="330" w:line="578" w:lineRule="auto"/>
      <w:outlineLvl w:val="0"/>
    </w:pPr>
    <w:rPr>
      <w:b/>
      <w:bCs/>
      <w:sz w:val="44"/>
      <w:szCs w:val="44"/>
    </w:rPr>
  </w:style>
  <w:style w:type="character" w:styleId="728">
    <w:name w:val="标题 1 Char"/>
    <w:next w:val="728"/>
    <w:link w:val="727"/>
    <w:qFormat/>
    <w:rPr>
      <w:b/>
      <w:bCs/>
      <w:sz w:val="44"/>
      <w:szCs w:val="44"/>
    </w:rPr>
  </w:style>
  <w:style w:type="paragraph" w:styleId="729">
    <w:name w:val="目录 5"/>
    <w:basedOn w:val="709"/>
    <w:next w:val="709"/>
    <w:link w:val="709"/>
    <w:uiPriority w:val="39"/>
    <w:unhideWhenUsed/>
    <w:qFormat/>
    <w:pPr>
      <w:ind w:left="1134" w:right="0" w:firstLine="0"/>
      <w:spacing w:after="57"/>
    </w:pPr>
  </w:style>
  <w:style w:type="paragraph" w:styleId="730">
    <w:name w:val="目录 3"/>
    <w:basedOn w:val="709"/>
    <w:next w:val="709"/>
    <w:link w:val="709"/>
    <w:uiPriority w:val="39"/>
    <w:unhideWhenUsed/>
    <w:qFormat/>
    <w:pPr>
      <w:ind w:left="567" w:right="0" w:firstLine="0"/>
      <w:spacing w:after="57"/>
    </w:pPr>
  </w:style>
  <w:style w:type="paragraph" w:styleId="731">
    <w:name w:val="纯文本"/>
    <w:basedOn w:val="709"/>
    <w:next w:val="731"/>
    <w:link w:val="732"/>
    <w:qFormat/>
    <w:pPr>
      <w:jc w:val="left"/>
      <w:widowControl/>
    </w:pPr>
    <w:rPr>
      <w:rFonts w:ascii="宋体" w:hAnsi="Courier New" w:eastAsia="楷体_GB2312"/>
      <w:sz w:val="26"/>
    </w:rPr>
  </w:style>
  <w:style w:type="character" w:styleId="732">
    <w:name w:val="纯文本 Char"/>
    <w:next w:val="732"/>
    <w:link w:val="731"/>
    <w:qFormat/>
    <w:rPr>
      <w:rFonts w:ascii="宋体" w:hAnsi="Courier New" w:eastAsia="楷体_GB2312"/>
      <w:sz w:val="26"/>
      <w:szCs w:val="24"/>
      <w:lang w:val="en-US" w:eastAsia="zh-CN" w:bidi="ar-SA"/>
    </w:rPr>
  </w:style>
  <w:style w:type="paragraph" w:styleId="733">
    <w:name w:val="目录 8"/>
    <w:basedOn w:val="709"/>
    <w:next w:val="709"/>
    <w:link w:val="709"/>
    <w:uiPriority w:val="39"/>
    <w:unhideWhenUsed/>
    <w:qFormat/>
    <w:pPr>
      <w:ind w:left="1984" w:right="0" w:firstLine="0"/>
      <w:spacing w:after="57"/>
    </w:pPr>
  </w:style>
  <w:style w:type="paragraph" w:styleId="734">
    <w:name w:val="日期"/>
    <w:basedOn w:val="709"/>
    <w:next w:val="709"/>
    <w:link w:val="735"/>
    <w:qFormat/>
    <w:pPr>
      <w:ind w:left="100"/>
    </w:pPr>
    <w:rPr>
      <w:sz w:val="36"/>
      <w:szCs w:val="20"/>
    </w:rPr>
  </w:style>
  <w:style w:type="character" w:styleId="735">
    <w:name w:val="日期 Char"/>
    <w:next w:val="735"/>
    <w:link w:val="734"/>
    <w:qFormat/>
    <w:rPr>
      <w:sz w:val="36"/>
      <w:lang w:bidi="ar-SA"/>
    </w:rPr>
  </w:style>
  <w:style w:type="paragraph" w:styleId="736">
    <w:name w:val="正文文本缩进 2"/>
    <w:basedOn w:val="709"/>
    <w:next w:val="736"/>
    <w:link w:val="709"/>
    <w:qFormat/>
    <w:pPr>
      <w:ind w:left="420"/>
      <w:spacing w:after="120" w:line="480" w:lineRule="auto"/>
    </w:pPr>
  </w:style>
  <w:style w:type="paragraph" w:styleId="737">
    <w:name w:val="尾注文本"/>
    <w:basedOn w:val="709"/>
    <w:next w:val="737"/>
    <w:link w:val="738"/>
    <w:uiPriority w:val="99"/>
    <w:unhideWhenUsed/>
    <w:qFormat/>
    <w:pPr>
      <w:spacing w:after="0" w:line="240" w:lineRule="auto"/>
    </w:pPr>
    <w:rPr>
      <w:sz w:val="20"/>
    </w:rPr>
  </w:style>
  <w:style w:type="character" w:styleId="738">
    <w:name w:val="Endnote Text Char"/>
    <w:next w:val="738"/>
    <w:link w:val="737"/>
    <w:uiPriority w:val="99"/>
    <w:qFormat/>
    <w:rPr>
      <w:sz w:val="20"/>
    </w:rPr>
  </w:style>
  <w:style w:type="paragraph" w:styleId="739">
    <w:name w:val="批注框文本"/>
    <w:basedOn w:val="709"/>
    <w:next w:val="739"/>
    <w:link w:val="709"/>
    <w:semiHidden/>
    <w:qFormat/>
    <w:rPr>
      <w:sz w:val="18"/>
      <w:szCs w:val="18"/>
    </w:rPr>
  </w:style>
  <w:style w:type="paragraph" w:styleId="740">
    <w:name w:val="页脚"/>
    <w:basedOn w:val="709"/>
    <w:next w:val="740"/>
    <w:link w:val="709"/>
    <w:uiPriority w:val="99"/>
    <w:unhideWhenUsed/>
    <w:pPr>
      <w:jc w:val="left"/>
      <w:tabs>
        <w:tab w:val="center" w:pos="4153" w:leader="none"/>
        <w:tab w:val="right" w:pos="8306" w:leader="none"/>
      </w:tabs>
    </w:pPr>
    <w:rPr>
      <w:sz w:val="18"/>
    </w:rPr>
  </w:style>
  <w:style w:type="paragraph" w:styleId="741">
    <w:name w:val="目录 1"/>
    <w:basedOn w:val="709"/>
    <w:next w:val="709"/>
    <w:link w:val="709"/>
    <w:semiHidden/>
    <w:qFormat/>
    <w:pPr>
      <w:jc w:val="left"/>
    </w:pPr>
    <w:rPr>
      <w:rFonts w:eastAsia="楷体_GB2312"/>
      <w:sz w:val="24"/>
      <w:szCs w:val="20"/>
    </w:rPr>
  </w:style>
  <w:style w:type="paragraph" w:styleId="742">
    <w:name w:val="目录 4"/>
    <w:basedOn w:val="709"/>
    <w:next w:val="709"/>
    <w:link w:val="709"/>
    <w:uiPriority w:val="39"/>
    <w:unhideWhenUsed/>
    <w:qFormat/>
    <w:pPr>
      <w:ind w:left="850" w:right="0" w:firstLine="0"/>
      <w:spacing w:after="57"/>
    </w:pPr>
  </w:style>
  <w:style w:type="paragraph" w:styleId="743">
    <w:name w:val="副标题"/>
    <w:basedOn w:val="709"/>
    <w:next w:val="709"/>
    <w:link w:val="709"/>
    <w:qFormat/>
    <w:pPr>
      <w:jc w:val="center"/>
      <w:spacing w:before="240" w:after="60" w:line="312" w:lineRule="auto"/>
      <w:outlineLvl w:val="1"/>
    </w:pPr>
    <w:rPr>
      <w:rFonts w:ascii="宋体" w:hAnsi="Courier New" w:eastAsia="楷体_GB2312"/>
      <w:sz w:val="26"/>
      <w:szCs w:val="20"/>
    </w:rPr>
  </w:style>
  <w:style w:type="paragraph" w:styleId="744">
    <w:name w:val="列表"/>
    <w:basedOn w:val="709"/>
    <w:next w:val="709"/>
    <w:link w:val="709"/>
    <w:qFormat/>
    <w:pPr>
      <w:ind w:left="420" w:hanging="420"/>
    </w:pPr>
    <w:rPr>
      <w:rFonts w:ascii="Arial" w:hAnsi="Arial" w:eastAsia="楷体_GB2312"/>
      <w:sz w:val="28"/>
    </w:rPr>
  </w:style>
  <w:style w:type="paragraph" w:styleId="745">
    <w:name w:val="脚注文本"/>
    <w:basedOn w:val="727"/>
    <w:next w:val="726"/>
    <w:link w:val="709"/>
    <w:qFormat/>
    <w:pPr>
      <w:ind w:firstLine="3584"/>
      <w:spacing w:before="0" w:after="0" w:line="360" w:lineRule="auto"/>
    </w:pPr>
  </w:style>
  <w:style w:type="paragraph" w:styleId="746">
    <w:name w:val="目录 6"/>
    <w:basedOn w:val="709"/>
    <w:next w:val="709"/>
    <w:link w:val="709"/>
    <w:uiPriority w:val="39"/>
    <w:unhideWhenUsed/>
    <w:qFormat/>
    <w:pPr>
      <w:ind w:left="1417" w:right="0" w:firstLine="0"/>
      <w:spacing w:after="57"/>
    </w:pPr>
  </w:style>
  <w:style w:type="paragraph" w:styleId="747">
    <w:name w:val="正文文本缩进 3"/>
    <w:basedOn w:val="709"/>
    <w:next w:val="747"/>
    <w:link w:val="709"/>
    <w:qFormat/>
    <w:pPr>
      <w:ind w:firstLine="480"/>
      <w:jc w:val="left"/>
      <w:spacing w:line="440" w:lineRule="atLeast"/>
    </w:pPr>
    <w:rPr>
      <w:sz w:val="24"/>
    </w:rPr>
  </w:style>
  <w:style w:type="paragraph" w:styleId="748">
    <w:name w:val="图表目录"/>
    <w:basedOn w:val="709"/>
    <w:next w:val="709"/>
    <w:link w:val="709"/>
    <w:uiPriority w:val="99"/>
    <w:unhideWhenUsed/>
    <w:qFormat/>
    <w:pPr>
      <w:spacing w:after="0" w:afterAutospacing="0"/>
    </w:pPr>
  </w:style>
  <w:style w:type="paragraph" w:styleId="749">
    <w:name w:val="目录 2"/>
    <w:basedOn w:val="709"/>
    <w:next w:val="709"/>
    <w:link w:val="709"/>
    <w:uiPriority w:val="39"/>
    <w:unhideWhenUsed/>
    <w:qFormat/>
    <w:pPr>
      <w:ind w:left="283" w:right="0" w:firstLine="0"/>
      <w:spacing w:after="57"/>
    </w:pPr>
  </w:style>
  <w:style w:type="paragraph" w:styleId="750">
    <w:name w:val="目录 9"/>
    <w:basedOn w:val="709"/>
    <w:next w:val="709"/>
    <w:link w:val="709"/>
    <w:uiPriority w:val="39"/>
    <w:unhideWhenUsed/>
    <w:qFormat/>
    <w:pPr>
      <w:ind w:left="2268" w:right="0" w:firstLine="0"/>
      <w:spacing w:after="57"/>
    </w:pPr>
  </w:style>
  <w:style w:type="paragraph" w:styleId="751">
    <w:name w:val="普通(网站)"/>
    <w:basedOn w:val="709"/>
    <w:next w:val="751"/>
    <w:link w:val="709"/>
    <w:qFormat/>
    <w:pPr>
      <w:jc w:val="left"/>
      <w:spacing w:before="100" w:beforeAutospacing="1" w:after="100" w:afterAutospacing="1"/>
      <w:widowControl/>
    </w:pPr>
    <w:rPr>
      <w:rFonts w:ascii="宋体" w:hAnsi="宋体" w:cs="宋体"/>
      <w:sz w:val="24"/>
    </w:rPr>
  </w:style>
  <w:style w:type="paragraph" w:styleId="752">
    <w:name w:val="标题"/>
    <w:basedOn w:val="709"/>
    <w:next w:val="752"/>
    <w:link w:val="753"/>
    <w:qFormat/>
    <w:pPr>
      <w:numPr>
        <w:ilvl w:val="0"/>
        <w:numId w:val="1"/>
      </w:numPr>
      <w:jc w:val="center"/>
      <w:spacing w:before="240" w:after="60"/>
      <w:tabs>
        <w:tab w:val="left" w:pos="432" w:leader="none"/>
        <w:tab w:val="left" w:pos="1140" w:leader="none"/>
      </w:tabs>
      <w:outlineLvl w:val="0"/>
    </w:pPr>
    <w:rPr>
      <w:rFonts w:ascii="Arial" w:hAnsi="Arial"/>
      <w:b/>
      <w:bCs/>
      <w:sz w:val="32"/>
      <w:szCs w:val="32"/>
    </w:rPr>
  </w:style>
  <w:style w:type="character" w:styleId="753">
    <w:name w:val="标题 Char"/>
    <w:next w:val="753"/>
    <w:link w:val="752"/>
    <w:qFormat/>
    <w:rPr>
      <w:rFonts w:ascii="Arial" w:hAnsi="Arial"/>
      <w:b/>
      <w:bCs/>
      <w:sz w:val="32"/>
      <w:szCs w:val="32"/>
      <w:lang w:bidi="ar-SA"/>
    </w:rPr>
  </w:style>
  <w:style w:type="paragraph" w:styleId="754">
    <w:name w:val="批注主题"/>
    <w:basedOn w:val="716"/>
    <w:next w:val="716"/>
    <w:link w:val="709"/>
    <w:semiHidden/>
    <w:qFormat/>
    <w:rPr>
      <w:b/>
      <w:bCs/>
    </w:rPr>
  </w:style>
  <w:style w:type="paragraph" w:styleId="755">
    <w:name w:val="正文首行缩进 2"/>
    <w:basedOn w:val="723"/>
    <w:next w:val="709"/>
    <w:link w:val="709"/>
    <w:qFormat/>
    <w:pPr>
      <w:ind w:firstLine="420"/>
    </w:pPr>
  </w:style>
  <w:style w:type="table" w:styleId="756">
    <w:name w:val="网格型"/>
    <w:basedOn w:val="711"/>
    <w:next w:val="756"/>
    <w:link w:val="709"/>
    <w:qFormat/>
    <w:tblPr/>
  </w:style>
  <w:style w:type="character" w:styleId="757">
    <w:name w:val="要点"/>
    <w:basedOn w:val="710"/>
    <w:next w:val="757"/>
    <w:link w:val="709"/>
    <w:qFormat/>
    <w:rPr>
      <w:b/>
      <w:bCs/>
    </w:rPr>
  </w:style>
  <w:style w:type="character" w:styleId="758">
    <w:name w:val="尾注引用"/>
    <w:basedOn w:val="710"/>
    <w:next w:val="758"/>
    <w:link w:val="709"/>
    <w:uiPriority w:val="99"/>
    <w:unhideWhenUsed/>
    <w:qFormat/>
    <w:rPr>
      <w:vertAlign w:val="superscript"/>
    </w:rPr>
  </w:style>
  <w:style w:type="character" w:styleId="759">
    <w:name w:val="页码"/>
    <w:basedOn w:val="710"/>
    <w:next w:val="759"/>
    <w:link w:val="709"/>
    <w:qFormat/>
  </w:style>
  <w:style w:type="character" w:styleId="760">
    <w:name w:val="已访问的超链接"/>
    <w:basedOn w:val="710"/>
    <w:next w:val="760"/>
    <w:link w:val="709"/>
    <w:unhideWhenUsed/>
    <w:qFormat/>
    <w:rPr>
      <w:color w:val="333333"/>
      <w:u w:val="none"/>
    </w:rPr>
  </w:style>
  <w:style w:type="character" w:styleId="761">
    <w:name w:val="强调"/>
    <w:next w:val="761"/>
    <w:link w:val="709"/>
    <w:qFormat/>
    <w:rPr>
      <w:i/>
      <w:iCs/>
    </w:rPr>
  </w:style>
  <w:style w:type="character" w:styleId="762">
    <w:name w:val="超链接"/>
    <w:next w:val="762"/>
    <w:link w:val="709"/>
    <w:qFormat/>
    <w:rPr>
      <w:color w:val="000000"/>
      <w:u w:val="none"/>
    </w:rPr>
  </w:style>
  <w:style w:type="character" w:styleId="763">
    <w:name w:val="批注引用"/>
    <w:next w:val="763"/>
    <w:link w:val="709"/>
    <w:uiPriority w:val="99"/>
    <w:qFormat/>
    <w:rPr>
      <w:sz w:val="21"/>
      <w:szCs w:val="21"/>
    </w:rPr>
  </w:style>
  <w:style w:type="character" w:styleId="764">
    <w:name w:val="脚注引用"/>
    <w:basedOn w:val="710"/>
    <w:next w:val="764"/>
    <w:link w:val="709"/>
    <w:uiPriority w:val="99"/>
    <w:unhideWhenUsed/>
    <w:qFormat/>
    <w:rPr>
      <w:vertAlign w:val="superscript"/>
    </w:rPr>
  </w:style>
  <w:style w:type="paragraph" w:styleId="765">
    <w:name w:val="Heading 2"/>
    <w:basedOn w:val="709"/>
    <w:next w:val="709"/>
    <w:link w:val="766"/>
    <w:qFormat/>
    <w:pPr>
      <w:keepLines/>
      <w:keepNext/>
      <w:spacing w:before="260" w:after="260" w:line="416" w:lineRule="auto"/>
      <w:outlineLvl w:val="1"/>
    </w:pPr>
    <w:rPr>
      <w:rFonts w:ascii="Cambria" w:hAnsi="Cambria"/>
      <w:b/>
      <w:bCs/>
      <w:sz w:val="32"/>
      <w:szCs w:val="32"/>
    </w:rPr>
  </w:style>
  <w:style w:type="character" w:styleId="766">
    <w:name w:val="标题 2 Char"/>
    <w:next w:val="766"/>
    <w:link w:val="765"/>
    <w:qFormat/>
    <w:rPr>
      <w:rFonts w:ascii="Cambria" w:hAnsi="Cambria"/>
      <w:b/>
      <w:bCs/>
      <w:sz w:val="32"/>
      <w:szCs w:val="32"/>
    </w:rPr>
  </w:style>
  <w:style w:type="paragraph" w:styleId="767">
    <w:name w:val="Heading 3"/>
    <w:basedOn w:val="709"/>
    <w:next w:val="709"/>
    <w:link w:val="768"/>
    <w:qFormat/>
    <w:pPr>
      <w:keepLines/>
      <w:keepNext/>
      <w:spacing w:before="260" w:after="260" w:line="416" w:lineRule="auto"/>
      <w:outlineLvl w:val="2"/>
    </w:pPr>
    <w:rPr>
      <w:b/>
      <w:bCs/>
      <w:sz w:val="32"/>
      <w:szCs w:val="32"/>
    </w:rPr>
  </w:style>
  <w:style w:type="character" w:styleId="768">
    <w:name w:val="标题 3 Char"/>
    <w:next w:val="768"/>
    <w:link w:val="767"/>
    <w:qFormat/>
    <w:rPr>
      <w:b/>
      <w:bCs/>
      <w:sz w:val="32"/>
      <w:szCs w:val="32"/>
    </w:rPr>
  </w:style>
  <w:style w:type="paragraph" w:styleId="769">
    <w:name w:val="Heading 4"/>
    <w:basedOn w:val="709"/>
    <w:next w:val="709"/>
    <w:link w:val="770"/>
    <w:qFormat/>
    <w:pPr>
      <w:keepNext/>
      <w:spacing w:before="240" w:after="60"/>
      <w:outlineLvl w:val="3"/>
    </w:pPr>
    <w:rPr>
      <w:b/>
      <w:bCs/>
      <w:sz w:val="28"/>
      <w:szCs w:val="28"/>
    </w:rPr>
  </w:style>
  <w:style w:type="character" w:styleId="770">
    <w:name w:val="标题 4 Char"/>
    <w:next w:val="770"/>
    <w:link w:val="769"/>
    <w:qFormat/>
    <w:rPr>
      <w:rFonts w:eastAsia="宋体"/>
      <w:b/>
      <w:bCs/>
      <w:sz w:val="28"/>
      <w:szCs w:val="28"/>
      <w:lang w:val="en-US" w:eastAsia="zh-CN" w:bidi="ar-SA"/>
    </w:rPr>
  </w:style>
  <w:style w:type="paragraph" w:styleId="771">
    <w:name w:val="Heading 5"/>
    <w:basedOn w:val="709"/>
    <w:next w:val="709"/>
    <w:link w:val="772"/>
    <w:qFormat/>
    <w:pPr>
      <w:spacing w:before="240" w:after="60"/>
      <w:outlineLvl w:val="4"/>
    </w:pPr>
    <w:rPr>
      <w:b/>
      <w:bCs/>
      <w:i/>
      <w:iCs/>
      <w:sz w:val="26"/>
      <w:szCs w:val="26"/>
    </w:rPr>
  </w:style>
  <w:style w:type="character" w:styleId="772">
    <w:name w:val="标题 5 Char"/>
    <w:next w:val="772"/>
    <w:link w:val="771"/>
    <w:qFormat/>
    <w:rPr>
      <w:rFonts w:eastAsia="宋体"/>
      <w:b/>
      <w:bCs/>
      <w:i/>
      <w:iCs/>
      <w:sz w:val="26"/>
      <w:szCs w:val="26"/>
      <w:lang w:val="en-US" w:eastAsia="zh-CN" w:bidi="ar-SA"/>
    </w:rPr>
  </w:style>
  <w:style w:type="paragraph" w:styleId="773">
    <w:name w:val="Heading 6"/>
    <w:basedOn w:val="709"/>
    <w:next w:val="709"/>
    <w:link w:val="774"/>
    <w:uiPriority w:val="9"/>
    <w:unhideWhenUsed/>
    <w:qFormat/>
    <w:pPr>
      <w:keepLines/>
      <w:keepNext/>
      <w:spacing w:before="320" w:after="200"/>
      <w:outlineLvl w:val="5"/>
    </w:pPr>
    <w:rPr>
      <w:rFonts w:ascii="Arial" w:hAnsi="Arial" w:eastAsia="Arial" w:cs="Arial"/>
      <w:b/>
      <w:bCs/>
      <w:sz w:val="22"/>
      <w:szCs w:val="22"/>
    </w:rPr>
  </w:style>
  <w:style w:type="character" w:styleId="774">
    <w:name w:val="Heading 6 Char"/>
    <w:basedOn w:val="710"/>
    <w:next w:val="774"/>
    <w:link w:val="773"/>
    <w:uiPriority w:val="9"/>
    <w:qFormat/>
    <w:rPr>
      <w:rFonts w:ascii="Arial" w:hAnsi="Arial" w:eastAsia="Arial" w:cs="Arial"/>
      <w:b/>
      <w:bCs/>
      <w:sz w:val="22"/>
      <w:szCs w:val="22"/>
    </w:rPr>
  </w:style>
  <w:style w:type="paragraph" w:styleId="775">
    <w:name w:val="Heading 7"/>
    <w:basedOn w:val="709"/>
    <w:next w:val="709"/>
    <w:link w:val="776"/>
    <w:uiPriority w:val="9"/>
    <w:unhideWhenUsed/>
    <w:qFormat/>
    <w:pPr>
      <w:keepLines/>
      <w:keepNext/>
      <w:spacing w:before="320" w:after="200"/>
      <w:outlineLvl w:val="6"/>
    </w:pPr>
    <w:rPr>
      <w:rFonts w:ascii="Arial" w:hAnsi="Arial" w:eastAsia="Arial" w:cs="Arial"/>
      <w:b/>
      <w:bCs/>
      <w:i/>
      <w:iCs/>
      <w:sz w:val="22"/>
      <w:szCs w:val="22"/>
    </w:rPr>
  </w:style>
  <w:style w:type="character" w:styleId="776">
    <w:name w:val="Heading 7 Char"/>
    <w:basedOn w:val="710"/>
    <w:next w:val="776"/>
    <w:link w:val="775"/>
    <w:uiPriority w:val="9"/>
    <w:qFormat/>
    <w:rPr>
      <w:rFonts w:ascii="Arial" w:hAnsi="Arial" w:eastAsia="Arial" w:cs="Arial"/>
      <w:b/>
      <w:bCs/>
      <w:i/>
      <w:iCs/>
      <w:sz w:val="22"/>
      <w:szCs w:val="22"/>
    </w:rPr>
  </w:style>
  <w:style w:type="paragraph" w:styleId="777">
    <w:name w:val="Heading 8"/>
    <w:basedOn w:val="709"/>
    <w:next w:val="709"/>
    <w:link w:val="778"/>
    <w:uiPriority w:val="9"/>
    <w:unhideWhenUsed/>
    <w:qFormat/>
    <w:pPr>
      <w:keepLines/>
      <w:keepNext/>
      <w:spacing w:before="320" w:after="200"/>
      <w:outlineLvl w:val="7"/>
    </w:pPr>
    <w:rPr>
      <w:rFonts w:ascii="Arial" w:hAnsi="Arial" w:eastAsia="Arial" w:cs="Arial"/>
      <w:i/>
      <w:iCs/>
      <w:sz w:val="22"/>
      <w:szCs w:val="22"/>
    </w:rPr>
  </w:style>
  <w:style w:type="character" w:styleId="778">
    <w:name w:val="Heading 8 Char"/>
    <w:basedOn w:val="710"/>
    <w:next w:val="778"/>
    <w:link w:val="777"/>
    <w:uiPriority w:val="9"/>
    <w:qFormat/>
    <w:rPr>
      <w:rFonts w:ascii="Arial" w:hAnsi="Arial" w:eastAsia="Arial" w:cs="Arial"/>
      <w:i/>
      <w:iCs/>
      <w:sz w:val="22"/>
      <w:szCs w:val="22"/>
    </w:rPr>
  </w:style>
  <w:style w:type="paragraph" w:styleId="779">
    <w:name w:val="Heading 9"/>
    <w:basedOn w:val="709"/>
    <w:next w:val="709"/>
    <w:link w:val="780"/>
    <w:uiPriority w:val="9"/>
    <w:unhideWhenUsed/>
    <w:qFormat/>
    <w:pPr>
      <w:keepLines/>
      <w:keepNext/>
      <w:spacing w:before="320" w:after="200"/>
      <w:outlineLvl w:val="8"/>
    </w:pPr>
    <w:rPr>
      <w:rFonts w:ascii="Arial" w:hAnsi="Arial" w:eastAsia="Arial" w:cs="Arial"/>
      <w:i/>
      <w:iCs/>
      <w:sz w:val="21"/>
      <w:szCs w:val="21"/>
    </w:rPr>
  </w:style>
  <w:style w:type="character" w:styleId="780">
    <w:name w:val="Heading 9 Char"/>
    <w:basedOn w:val="710"/>
    <w:next w:val="780"/>
    <w:link w:val="779"/>
    <w:uiPriority w:val="9"/>
    <w:qFormat/>
    <w:rPr>
      <w:rFonts w:ascii="Arial" w:hAnsi="Arial" w:eastAsia="Arial" w:cs="Arial"/>
      <w:i/>
      <w:iCs/>
      <w:sz w:val="21"/>
      <w:szCs w:val="21"/>
    </w:rPr>
  </w:style>
  <w:style w:type="paragraph" w:styleId="781">
    <w:name w:val="Caption1"/>
    <w:basedOn w:val="709"/>
    <w:next w:val="709"/>
    <w:link w:val="709"/>
    <w:uiPriority w:val="35"/>
    <w:unhideWhenUsed/>
    <w:qFormat/>
    <w:pPr>
      <w:spacing w:line="276" w:lineRule="auto"/>
    </w:pPr>
    <w:rPr>
      <w:b/>
      <w:bCs/>
      <w:color w:val="4f81bd"/>
      <w:sz w:val="18"/>
      <w:szCs w:val="18"/>
    </w:rPr>
  </w:style>
  <w:style w:type="paragraph" w:styleId="782">
    <w:name w:val="Footer1"/>
    <w:basedOn w:val="709"/>
    <w:next w:val="782"/>
    <w:link w:val="783"/>
    <w:qFormat/>
    <w:pPr>
      <w:jc w:val="left"/>
      <w:tabs>
        <w:tab w:val="center" w:pos="4153" w:leader="none"/>
        <w:tab w:val="right" w:pos="8306" w:leader="none"/>
      </w:tabs>
    </w:pPr>
    <w:rPr>
      <w:sz w:val="18"/>
      <w:szCs w:val="18"/>
    </w:rPr>
  </w:style>
  <w:style w:type="character" w:styleId="783">
    <w:name w:val="页脚 Char"/>
    <w:next w:val="783"/>
    <w:link w:val="782"/>
    <w:semiHidden/>
    <w:qFormat/>
    <w:rPr>
      <w:rFonts w:eastAsia="宋体"/>
      <w:sz w:val="18"/>
      <w:szCs w:val="18"/>
      <w:lang w:val="en-US" w:eastAsia="zh-CN" w:bidi="ar-SA"/>
    </w:rPr>
  </w:style>
  <w:style w:type="paragraph" w:styleId="784">
    <w:name w:val="Header1"/>
    <w:basedOn w:val="709"/>
    <w:next w:val="784"/>
    <w:link w:val="785"/>
    <w:uiPriority w:val="99"/>
    <w:qFormat/>
    <w:pPr>
      <w:jc w:val="center"/>
      <w:tabs>
        <w:tab w:val="center" w:pos="4153" w:leader="none"/>
        <w:tab w:val="right" w:pos="8306" w:leader="none"/>
      </w:tabs>
      <w:pBdr>
        <w:bottom w:val="single" w:color="000000" w:sz="6" w:space="1"/>
      </w:pBdr>
    </w:pPr>
    <w:rPr>
      <w:sz w:val="18"/>
      <w:szCs w:val="18"/>
    </w:rPr>
  </w:style>
  <w:style w:type="character" w:styleId="785">
    <w:name w:val="页眉 Char"/>
    <w:next w:val="785"/>
    <w:link w:val="784"/>
    <w:uiPriority w:val="99"/>
    <w:qFormat/>
    <w:rPr>
      <w:rFonts w:eastAsia="宋体"/>
      <w:sz w:val="18"/>
      <w:szCs w:val="18"/>
      <w:lang w:val="en-US" w:eastAsia="zh-CN" w:bidi="ar-SA"/>
    </w:rPr>
  </w:style>
  <w:style w:type="paragraph" w:styleId="786">
    <w:name w:val="首行缩进"/>
    <w:basedOn w:val="709"/>
    <w:next w:val="786"/>
    <w:link w:val="709"/>
    <w:qFormat/>
    <w:pPr>
      <w:ind w:firstLine="480"/>
      <w:jc w:val="left"/>
      <w:spacing w:line="360" w:lineRule="auto"/>
    </w:pPr>
    <w:rPr>
      <w:rFonts w:ascii="宋体" w:hAnsi="宋体"/>
      <w:sz w:val="24"/>
    </w:rPr>
  </w:style>
  <w:style w:type="character" w:styleId="787">
    <w:name w:val="Heading 1 Char"/>
    <w:basedOn w:val="710"/>
    <w:next w:val="787"/>
    <w:link w:val="709"/>
    <w:uiPriority w:val="9"/>
    <w:qFormat/>
    <w:rPr>
      <w:rFonts w:ascii="Arial" w:hAnsi="Arial" w:eastAsia="Arial" w:cs="Arial"/>
      <w:sz w:val="40"/>
      <w:szCs w:val="40"/>
    </w:rPr>
  </w:style>
  <w:style w:type="character" w:styleId="788">
    <w:name w:val="Heading 2 Char"/>
    <w:basedOn w:val="710"/>
    <w:next w:val="788"/>
    <w:link w:val="709"/>
    <w:uiPriority w:val="9"/>
    <w:qFormat/>
    <w:rPr>
      <w:rFonts w:ascii="Arial" w:hAnsi="Arial" w:eastAsia="Arial" w:cs="Arial"/>
      <w:sz w:val="34"/>
    </w:rPr>
  </w:style>
  <w:style w:type="character" w:styleId="789">
    <w:name w:val="Heading 3 Char"/>
    <w:basedOn w:val="710"/>
    <w:next w:val="789"/>
    <w:link w:val="709"/>
    <w:uiPriority w:val="9"/>
    <w:qFormat/>
    <w:rPr>
      <w:rFonts w:ascii="Arial" w:hAnsi="Arial" w:eastAsia="Arial" w:cs="Arial"/>
      <w:sz w:val="30"/>
      <w:szCs w:val="30"/>
    </w:rPr>
  </w:style>
  <w:style w:type="character" w:styleId="790">
    <w:name w:val="Heading 4 Char"/>
    <w:basedOn w:val="710"/>
    <w:next w:val="790"/>
    <w:link w:val="709"/>
    <w:uiPriority w:val="9"/>
    <w:qFormat/>
    <w:rPr>
      <w:rFonts w:ascii="Arial" w:hAnsi="Arial" w:eastAsia="Arial" w:cs="Arial"/>
      <w:b/>
      <w:bCs/>
      <w:sz w:val="26"/>
      <w:szCs w:val="26"/>
    </w:rPr>
  </w:style>
  <w:style w:type="character" w:styleId="791">
    <w:name w:val="Heading 5 Char"/>
    <w:basedOn w:val="710"/>
    <w:next w:val="791"/>
    <w:link w:val="709"/>
    <w:uiPriority w:val="9"/>
    <w:qFormat/>
    <w:rPr>
      <w:rFonts w:ascii="Arial" w:hAnsi="Arial" w:eastAsia="Arial" w:cs="Arial"/>
      <w:b/>
      <w:bCs/>
      <w:sz w:val="24"/>
      <w:szCs w:val="24"/>
    </w:rPr>
  </w:style>
  <w:style w:type="character" w:styleId="792">
    <w:name w:val="Title Char"/>
    <w:basedOn w:val="710"/>
    <w:next w:val="792"/>
    <w:link w:val="709"/>
    <w:uiPriority w:val="10"/>
    <w:qFormat/>
    <w:rPr>
      <w:sz w:val="48"/>
      <w:szCs w:val="48"/>
    </w:rPr>
  </w:style>
  <w:style w:type="character" w:styleId="793">
    <w:name w:val="Subtitle Char"/>
    <w:basedOn w:val="710"/>
    <w:next w:val="793"/>
    <w:link w:val="709"/>
    <w:uiPriority w:val="11"/>
    <w:qFormat/>
    <w:rPr>
      <w:sz w:val="24"/>
      <w:szCs w:val="24"/>
    </w:rPr>
  </w:style>
  <w:style w:type="paragraph" w:styleId="794">
    <w:name w:val="Quote"/>
    <w:basedOn w:val="709"/>
    <w:next w:val="709"/>
    <w:link w:val="795"/>
    <w:uiPriority w:val="29"/>
    <w:qFormat/>
    <w:pPr>
      <w:ind w:left="720" w:right="720"/>
    </w:pPr>
    <w:rPr>
      <w:i/>
    </w:rPr>
  </w:style>
  <w:style w:type="character" w:styleId="795">
    <w:name w:val="Quote Char"/>
    <w:next w:val="795"/>
    <w:link w:val="794"/>
    <w:uiPriority w:val="29"/>
    <w:qFormat/>
    <w:rPr>
      <w:i/>
    </w:rPr>
  </w:style>
  <w:style w:type="paragraph" w:styleId="796">
    <w:name w:val="Intense Quote"/>
    <w:basedOn w:val="709"/>
    <w:next w:val="709"/>
    <w:link w:val="7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name w:val="Intense Quote Char"/>
    <w:next w:val="797"/>
    <w:link w:val="796"/>
    <w:uiPriority w:val="30"/>
    <w:qFormat/>
    <w:rPr>
      <w:i/>
    </w:rPr>
  </w:style>
  <w:style w:type="character" w:styleId="798">
    <w:name w:val="Header Char"/>
    <w:basedOn w:val="710"/>
    <w:next w:val="798"/>
    <w:link w:val="709"/>
    <w:uiPriority w:val="99"/>
    <w:qFormat/>
  </w:style>
  <w:style w:type="character" w:styleId="799">
    <w:name w:val="Footer Char"/>
    <w:basedOn w:val="710"/>
    <w:next w:val="799"/>
    <w:link w:val="709"/>
    <w:uiPriority w:val="99"/>
    <w:qFormat/>
  </w:style>
  <w:style w:type="character" w:styleId="800">
    <w:name w:val="Caption Char"/>
    <w:next w:val="800"/>
    <w:link w:val="709"/>
    <w:uiPriority w:val="99"/>
    <w:qFormat/>
  </w:style>
  <w:style w:type="table" w:styleId="801">
    <w:name w:val="Table Grid Light"/>
    <w:basedOn w:val="711"/>
    <w:next w:val="801"/>
    <w:link w:val="709"/>
    <w:uiPriority w:val="59"/>
    <w:qFormat/>
    <w:pPr>
      <w:spacing w:after="0" w:line="240" w:lineRule="auto"/>
    </w:pPr>
    <w:tblPr/>
  </w:style>
  <w:style w:type="table" w:styleId="802">
    <w:name w:val="Plain Table 1"/>
    <w:basedOn w:val="711"/>
    <w:next w:val="802"/>
    <w:link w:val="709"/>
    <w:uiPriority w:val="59"/>
    <w:qFormat/>
    <w:pPr>
      <w:spacing w:after="0" w:line="240" w:lineRule="auto"/>
    </w:pPr>
    <w:tblPr/>
  </w:style>
  <w:style w:type="table" w:styleId="803">
    <w:name w:val="Plain Table 2"/>
    <w:basedOn w:val="711"/>
    <w:next w:val="803"/>
    <w:link w:val="709"/>
    <w:uiPriority w:val="59"/>
    <w:qFormat/>
    <w:pPr>
      <w:spacing w:after="0" w:line="240" w:lineRule="auto"/>
    </w:pPr>
    <w:tblPr/>
  </w:style>
  <w:style w:type="table" w:styleId="804">
    <w:name w:val="Plain Table 3"/>
    <w:basedOn w:val="711"/>
    <w:next w:val="804"/>
    <w:link w:val="709"/>
    <w:uiPriority w:val="99"/>
    <w:qFormat/>
    <w:pPr>
      <w:spacing w:after="0" w:line="240" w:lineRule="auto"/>
    </w:pPr>
    <w:tblPr/>
  </w:style>
  <w:style w:type="table" w:styleId="805">
    <w:name w:val="Plain Table 4"/>
    <w:basedOn w:val="711"/>
    <w:next w:val="805"/>
    <w:link w:val="709"/>
    <w:uiPriority w:val="99"/>
    <w:qFormat/>
    <w:pPr>
      <w:spacing w:after="0" w:line="240" w:lineRule="auto"/>
    </w:pPr>
    <w:tblPr/>
  </w:style>
  <w:style w:type="table" w:styleId="806">
    <w:name w:val="Plain Table 5"/>
    <w:basedOn w:val="711"/>
    <w:next w:val="806"/>
    <w:link w:val="709"/>
    <w:uiPriority w:val="99"/>
    <w:qFormat/>
    <w:pPr>
      <w:spacing w:after="0" w:line="240" w:lineRule="auto"/>
    </w:pPr>
    <w:tblPr/>
  </w:style>
  <w:style w:type="table" w:styleId="807">
    <w:name w:val="Grid Table 1 Light"/>
    <w:basedOn w:val="711"/>
    <w:next w:val="807"/>
    <w:link w:val="709"/>
    <w:uiPriority w:val="99"/>
    <w:qFormat/>
    <w:pPr>
      <w:spacing w:after="0" w:line="240" w:lineRule="auto"/>
    </w:pPr>
    <w:tblPr/>
  </w:style>
  <w:style w:type="table" w:styleId="808">
    <w:name w:val="Grid Table 1 Light - Accent 1"/>
    <w:basedOn w:val="711"/>
    <w:next w:val="808"/>
    <w:link w:val="709"/>
    <w:uiPriority w:val="99"/>
    <w:qFormat/>
    <w:pPr>
      <w:spacing w:after="0" w:line="240" w:lineRule="auto"/>
    </w:pPr>
    <w:tblPr/>
  </w:style>
  <w:style w:type="table" w:styleId="809">
    <w:name w:val="Grid Table 1 Light - Accent 2"/>
    <w:basedOn w:val="711"/>
    <w:next w:val="809"/>
    <w:link w:val="709"/>
    <w:uiPriority w:val="99"/>
    <w:qFormat/>
    <w:pPr>
      <w:spacing w:after="0" w:line="240" w:lineRule="auto"/>
    </w:pPr>
    <w:tblPr/>
  </w:style>
  <w:style w:type="table" w:styleId="810">
    <w:name w:val="Grid Table 1 Light - Accent 3"/>
    <w:basedOn w:val="711"/>
    <w:next w:val="810"/>
    <w:link w:val="709"/>
    <w:uiPriority w:val="99"/>
    <w:qFormat/>
    <w:pPr>
      <w:spacing w:after="0" w:line="240" w:lineRule="auto"/>
    </w:pPr>
    <w:tblPr/>
  </w:style>
  <w:style w:type="table" w:styleId="811">
    <w:name w:val="Grid Table 1 Light - Accent 4"/>
    <w:basedOn w:val="711"/>
    <w:next w:val="811"/>
    <w:link w:val="709"/>
    <w:uiPriority w:val="99"/>
    <w:qFormat/>
    <w:pPr>
      <w:spacing w:after="0" w:line="240" w:lineRule="auto"/>
    </w:pPr>
    <w:tblPr/>
  </w:style>
  <w:style w:type="table" w:styleId="812">
    <w:name w:val="Grid Table 1 Light - Accent 5"/>
    <w:basedOn w:val="711"/>
    <w:next w:val="812"/>
    <w:link w:val="709"/>
    <w:uiPriority w:val="99"/>
    <w:qFormat/>
    <w:pPr>
      <w:spacing w:after="0" w:line="240" w:lineRule="auto"/>
    </w:pPr>
    <w:tblPr/>
  </w:style>
  <w:style w:type="table" w:styleId="813">
    <w:name w:val="Grid Table 1 Light - Accent 6"/>
    <w:basedOn w:val="711"/>
    <w:next w:val="813"/>
    <w:link w:val="709"/>
    <w:uiPriority w:val="99"/>
    <w:qFormat/>
    <w:pPr>
      <w:spacing w:after="0" w:line="240" w:lineRule="auto"/>
    </w:pPr>
    <w:tblPr/>
  </w:style>
  <w:style w:type="table" w:styleId="814">
    <w:name w:val="Grid Table 2"/>
    <w:basedOn w:val="711"/>
    <w:next w:val="814"/>
    <w:link w:val="709"/>
    <w:uiPriority w:val="99"/>
    <w:qFormat/>
    <w:pPr>
      <w:spacing w:after="0" w:line="240" w:lineRule="auto"/>
    </w:pPr>
    <w:tblPr/>
  </w:style>
  <w:style w:type="table" w:styleId="815">
    <w:name w:val="Grid Table 2 - Accent 1"/>
    <w:basedOn w:val="711"/>
    <w:next w:val="815"/>
    <w:link w:val="709"/>
    <w:uiPriority w:val="99"/>
    <w:qFormat/>
    <w:pPr>
      <w:spacing w:after="0" w:line="240" w:lineRule="auto"/>
    </w:pPr>
    <w:tblPr/>
  </w:style>
  <w:style w:type="table" w:styleId="816">
    <w:name w:val="Grid Table 2 - Accent 2"/>
    <w:basedOn w:val="711"/>
    <w:next w:val="816"/>
    <w:link w:val="709"/>
    <w:uiPriority w:val="99"/>
    <w:qFormat/>
    <w:pPr>
      <w:spacing w:after="0" w:line="240" w:lineRule="auto"/>
    </w:pPr>
    <w:tblPr/>
  </w:style>
  <w:style w:type="table" w:styleId="817">
    <w:name w:val="Grid Table 2 - Accent 3"/>
    <w:basedOn w:val="711"/>
    <w:next w:val="817"/>
    <w:link w:val="709"/>
    <w:uiPriority w:val="99"/>
    <w:qFormat/>
    <w:pPr>
      <w:spacing w:after="0" w:line="240" w:lineRule="auto"/>
    </w:pPr>
    <w:tblPr/>
  </w:style>
  <w:style w:type="table" w:styleId="818">
    <w:name w:val="Grid Table 2 - Accent 4"/>
    <w:basedOn w:val="711"/>
    <w:next w:val="818"/>
    <w:link w:val="709"/>
    <w:uiPriority w:val="99"/>
    <w:qFormat/>
    <w:pPr>
      <w:spacing w:after="0" w:line="240" w:lineRule="auto"/>
    </w:pPr>
    <w:tblPr/>
  </w:style>
  <w:style w:type="table" w:styleId="819">
    <w:name w:val="Grid Table 2 - Accent 5"/>
    <w:basedOn w:val="711"/>
    <w:next w:val="819"/>
    <w:link w:val="709"/>
    <w:uiPriority w:val="99"/>
    <w:qFormat/>
    <w:pPr>
      <w:spacing w:after="0" w:line="240" w:lineRule="auto"/>
    </w:pPr>
    <w:tblPr/>
  </w:style>
  <w:style w:type="table" w:styleId="820">
    <w:name w:val="Grid Table 2 - Accent 6"/>
    <w:basedOn w:val="711"/>
    <w:next w:val="820"/>
    <w:link w:val="709"/>
    <w:uiPriority w:val="99"/>
    <w:qFormat/>
    <w:pPr>
      <w:spacing w:after="0" w:line="240" w:lineRule="auto"/>
    </w:pPr>
    <w:tblPr/>
  </w:style>
  <w:style w:type="table" w:styleId="821">
    <w:name w:val="Grid Table 3"/>
    <w:basedOn w:val="711"/>
    <w:next w:val="821"/>
    <w:link w:val="709"/>
    <w:uiPriority w:val="99"/>
    <w:qFormat/>
    <w:pPr>
      <w:spacing w:after="0" w:line="240" w:lineRule="auto"/>
    </w:pPr>
    <w:tblPr/>
  </w:style>
  <w:style w:type="table" w:styleId="822">
    <w:name w:val="Grid Table 3 - Accent 1"/>
    <w:basedOn w:val="711"/>
    <w:next w:val="822"/>
    <w:link w:val="709"/>
    <w:uiPriority w:val="99"/>
    <w:qFormat/>
    <w:pPr>
      <w:spacing w:after="0" w:line="240" w:lineRule="auto"/>
    </w:pPr>
    <w:tblPr/>
  </w:style>
  <w:style w:type="table" w:styleId="823">
    <w:name w:val="Grid Table 3 - Accent 2"/>
    <w:basedOn w:val="711"/>
    <w:next w:val="823"/>
    <w:link w:val="709"/>
    <w:uiPriority w:val="99"/>
    <w:qFormat/>
    <w:pPr>
      <w:spacing w:after="0" w:line="240" w:lineRule="auto"/>
    </w:pPr>
    <w:tblPr/>
  </w:style>
  <w:style w:type="table" w:styleId="824">
    <w:name w:val="Grid Table 3 - Accent 3"/>
    <w:basedOn w:val="711"/>
    <w:next w:val="824"/>
    <w:link w:val="709"/>
    <w:uiPriority w:val="99"/>
    <w:qFormat/>
    <w:pPr>
      <w:spacing w:after="0" w:line="240" w:lineRule="auto"/>
    </w:pPr>
    <w:tblPr/>
  </w:style>
  <w:style w:type="table" w:styleId="825">
    <w:name w:val="Grid Table 3 - Accent 4"/>
    <w:basedOn w:val="711"/>
    <w:next w:val="825"/>
    <w:link w:val="709"/>
    <w:uiPriority w:val="99"/>
    <w:qFormat/>
    <w:pPr>
      <w:spacing w:after="0" w:line="240" w:lineRule="auto"/>
    </w:pPr>
    <w:tblPr/>
  </w:style>
  <w:style w:type="table" w:styleId="826">
    <w:name w:val="Grid Table 3 - Accent 5"/>
    <w:basedOn w:val="711"/>
    <w:next w:val="826"/>
    <w:link w:val="709"/>
    <w:uiPriority w:val="99"/>
    <w:qFormat/>
    <w:pPr>
      <w:spacing w:after="0" w:line="240" w:lineRule="auto"/>
    </w:pPr>
    <w:tblPr/>
  </w:style>
  <w:style w:type="table" w:styleId="827">
    <w:name w:val="Grid Table 3 - Accent 6"/>
    <w:basedOn w:val="711"/>
    <w:next w:val="827"/>
    <w:link w:val="709"/>
    <w:uiPriority w:val="99"/>
    <w:qFormat/>
    <w:pPr>
      <w:spacing w:after="0" w:line="240" w:lineRule="auto"/>
    </w:pPr>
    <w:tblPr/>
  </w:style>
  <w:style w:type="table" w:styleId="828">
    <w:name w:val="Grid Table 4"/>
    <w:basedOn w:val="711"/>
    <w:next w:val="828"/>
    <w:link w:val="709"/>
    <w:uiPriority w:val="59"/>
    <w:qFormat/>
    <w:pPr>
      <w:spacing w:after="0" w:line="240" w:lineRule="auto"/>
    </w:pPr>
    <w:tblPr/>
  </w:style>
  <w:style w:type="table" w:styleId="829">
    <w:name w:val="Grid Table 4 - Accent 1"/>
    <w:basedOn w:val="711"/>
    <w:next w:val="829"/>
    <w:link w:val="709"/>
    <w:uiPriority w:val="59"/>
    <w:qFormat/>
    <w:pPr>
      <w:spacing w:after="0" w:line="240" w:lineRule="auto"/>
    </w:pPr>
    <w:tblPr/>
  </w:style>
  <w:style w:type="table" w:styleId="830">
    <w:name w:val="Grid Table 4 - Accent 2"/>
    <w:basedOn w:val="711"/>
    <w:next w:val="830"/>
    <w:link w:val="709"/>
    <w:uiPriority w:val="59"/>
    <w:qFormat/>
    <w:pPr>
      <w:spacing w:after="0" w:line="240" w:lineRule="auto"/>
    </w:pPr>
    <w:tblPr/>
  </w:style>
  <w:style w:type="table" w:styleId="831">
    <w:name w:val="Grid Table 4 - Accent 3"/>
    <w:basedOn w:val="711"/>
    <w:next w:val="831"/>
    <w:link w:val="709"/>
    <w:uiPriority w:val="59"/>
    <w:qFormat/>
    <w:pPr>
      <w:spacing w:after="0" w:line="240" w:lineRule="auto"/>
    </w:pPr>
    <w:tblPr/>
  </w:style>
  <w:style w:type="table" w:styleId="832">
    <w:name w:val="Grid Table 4 - Accent 4"/>
    <w:basedOn w:val="711"/>
    <w:next w:val="832"/>
    <w:link w:val="709"/>
    <w:uiPriority w:val="59"/>
    <w:qFormat/>
    <w:pPr>
      <w:spacing w:after="0" w:line="240" w:lineRule="auto"/>
    </w:pPr>
    <w:tblPr/>
  </w:style>
  <w:style w:type="table" w:styleId="833">
    <w:name w:val="Grid Table 4 - Accent 5"/>
    <w:basedOn w:val="711"/>
    <w:next w:val="833"/>
    <w:link w:val="709"/>
    <w:uiPriority w:val="59"/>
    <w:qFormat/>
    <w:pPr>
      <w:spacing w:after="0" w:line="240" w:lineRule="auto"/>
    </w:pPr>
    <w:tblPr/>
  </w:style>
  <w:style w:type="table" w:styleId="834">
    <w:name w:val="Grid Table 4 - Accent 6"/>
    <w:basedOn w:val="711"/>
    <w:next w:val="834"/>
    <w:link w:val="709"/>
    <w:uiPriority w:val="59"/>
    <w:qFormat/>
    <w:pPr>
      <w:spacing w:after="0" w:line="240" w:lineRule="auto"/>
    </w:pPr>
    <w:tblPr/>
  </w:style>
  <w:style w:type="table" w:styleId="835">
    <w:name w:val="Grid Table 5 Dark"/>
    <w:basedOn w:val="711"/>
    <w:next w:val="835"/>
    <w:link w:val="709"/>
    <w:uiPriority w:val="99"/>
    <w:qFormat/>
    <w:pPr>
      <w:spacing w:after="0" w:line="240" w:lineRule="auto"/>
    </w:pPr>
    <w:tblPr/>
  </w:style>
  <w:style w:type="table" w:styleId="836">
    <w:name w:val="Grid Table 5 Dark- Accent 1"/>
    <w:basedOn w:val="711"/>
    <w:next w:val="836"/>
    <w:link w:val="709"/>
    <w:uiPriority w:val="99"/>
    <w:qFormat/>
    <w:pPr>
      <w:spacing w:after="0" w:line="240" w:lineRule="auto"/>
    </w:pPr>
    <w:tblPr/>
  </w:style>
  <w:style w:type="table" w:styleId="837">
    <w:name w:val="Grid Table 5 Dark - Accent 2"/>
    <w:basedOn w:val="711"/>
    <w:next w:val="837"/>
    <w:link w:val="709"/>
    <w:uiPriority w:val="99"/>
    <w:qFormat/>
    <w:pPr>
      <w:spacing w:after="0" w:line="240" w:lineRule="auto"/>
    </w:pPr>
    <w:tblPr/>
  </w:style>
  <w:style w:type="table" w:styleId="838">
    <w:name w:val="Grid Table 5 Dark - Accent 3"/>
    <w:basedOn w:val="711"/>
    <w:next w:val="838"/>
    <w:link w:val="709"/>
    <w:uiPriority w:val="99"/>
    <w:qFormat/>
    <w:pPr>
      <w:spacing w:after="0" w:line="240" w:lineRule="auto"/>
    </w:pPr>
    <w:tblPr/>
  </w:style>
  <w:style w:type="table" w:styleId="839">
    <w:name w:val="Grid Table 5 Dark- Accent 4"/>
    <w:basedOn w:val="711"/>
    <w:next w:val="839"/>
    <w:link w:val="709"/>
    <w:uiPriority w:val="99"/>
    <w:qFormat/>
    <w:pPr>
      <w:spacing w:after="0" w:line="240" w:lineRule="auto"/>
    </w:pPr>
    <w:tblPr/>
  </w:style>
  <w:style w:type="table" w:styleId="840">
    <w:name w:val="Grid Table 5 Dark - Accent 5"/>
    <w:basedOn w:val="711"/>
    <w:next w:val="840"/>
    <w:link w:val="709"/>
    <w:uiPriority w:val="99"/>
    <w:qFormat/>
    <w:pPr>
      <w:spacing w:after="0" w:line="240" w:lineRule="auto"/>
    </w:pPr>
    <w:tblPr/>
  </w:style>
  <w:style w:type="table" w:styleId="841">
    <w:name w:val="Grid Table 5 Dark - Accent 6"/>
    <w:basedOn w:val="711"/>
    <w:next w:val="841"/>
    <w:link w:val="709"/>
    <w:uiPriority w:val="99"/>
    <w:qFormat/>
    <w:pPr>
      <w:spacing w:after="0" w:line="240" w:lineRule="auto"/>
    </w:pPr>
    <w:tblPr/>
  </w:style>
  <w:style w:type="table" w:styleId="842">
    <w:name w:val="Grid Table 6 Colorful"/>
    <w:basedOn w:val="711"/>
    <w:next w:val="842"/>
    <w:link w:val="709"/>
    <w:uiPriority w:val="99"/>
    <w:qFormat/>
    <w:pPr>
      <w:spacing w:after="0" w:line="240" w:lineRule="auto"/>
    </w:pPr>
    <w:tblPr/>
  </w:style>
  <w:style w:type="table" w:styleId="843">
    <w:name w:val="Grid Table 6 Colorful - Accent 1"/>
    <w:basedOn w:val="711"/>
    <w:next w:val="843"/>
    <w:link w:val="709"/>
    <w:uiPriority w:val="99"/>
    <w:qFormat/>
    <w:pPr>
      <w:spacing w:after="0" w:line="240" w:lineRule="auto"/>
    </w:pPr>
    <w:tblPr/>
  </w:style>
  <w:style w:type="table" w:styleId="844">
    <w:name w:val="Grid Table 6 Colorful - Accent 2"/>
    <w:basedOn w:val="711"/>
    <w:next w:val="844"/>
    <w:link w:val="709"/>
    <w:uiPriority w:val="99"/>
    <w:qFormat/>
    <w:pPr>
      <w:spacing w:after="0" w:line="240" w:lineRule="auto"/>
    </w:pPr>
    <w:tblPr/>
  </w:style>
  <w:style w:type="table" w:styleId="845">
    <w:name w:val="Grid Table 6 Colorful - Accent 3"/>
    <w:basedOn w:val="711"/>
    <w:next w:val="845"/>
    <w:link w:val="709"/>
    <w:uiPriority w:val="99"/>
    <w:qFormat/>
    <w:pPr>
      <w:spacing w:after="0" w:line="240" w:lineRule="auto"/>
    </w:pPr>
    <w:tblPr/>
  </w:style>
  <w:style w:type="table" w:styleId="846">
    <w:name w:val="Grid Table 6 Colorful - Accent 4"/>
    <w:basedOn w:val="711"/>
    <w:next w:val="846"/>
    <w:link w:val="709"/>
    <w:uiPriority w:val="99"/>
    <w:qFormat/>
    <w:pPr>
      <w:spacing w:after="0" w:line="240" w:lineRule="auto"/>
    </w:pPr>
    <w:tblPr/>
  </w:style>
  <w:style w:type="table" w:styleId="847">
    <w:name w:val="Grid Table 6 Colorful - Accent 5"/>
    <w:basedOn w:val="711"/>
    <w:next w:val="847"/>
    <w:link w:val="709"/>
    <w:uiPriority w:val="99"/>
    <w:qFormat/>
    <w:pPr>
      <w:spacing w:after="0" w:line="240" w:lineRule="auto"/>
    </w:pPr>
    <w:tblPr/>
  </w:style>
  <w:style w:type="table" w:styleId="848">
    <w:name w:val="Grid Table 6 Colorful - Accent 6"/>
    <w:basedOn w:val="711"/>
    <w:next w:val="848"/>
    <w:link w:val="709"/>
    <w:uiPriority w:val="99"/>
    <w:qFormat/>
    <w:pPr>
      <w:spacing w:after="0" w:line="240" w:lineRule="auto"/>
    </w:pPr>
    <w:tblPr/>
  </w:style>
  <w:style w:type="table" w:styleId="849">
    <w:name w:val="Grid Table 7 Colorful"/>
    <w:basedOn w:val="711"/>
    <w:next w:val="849"/>
    <w:link w:val="709"/>
    <w:uiPriority w:val="99"/>
    <w:qFormat/>
    <w:pPr>
      <w:spacing w:after="0" w:line="240" w:lineRule="auto"/>
    </w:pPr>
    <w:tblPr/>
  </w:style>
  <w:style w:type="table" w:styleId="850">
    <w:name w:val="Grid Table 7 Colorful - Accent 1"/>
    <w:basedOn w:val="711"/>
    <w:next w:val="850"/>
    <w:link w:val="709"/>
    <w:uiPriority w:val="99"/>
    <w:qFormat/>
    <w:pPr>
      <w:spacing w:after="0" w:line="240" w:lineRule="auto"/>
    </w:pPr>
    <w:tblPr/>
  </w:style>
  <w:style w:type="table" w:styleId="851">
    <w:name w:val="Grid Table 7 Colorful - Accent 2"/>
    <w:basedOn w:val="711"/>
    <w:next w:val="851"/>
    <w:link w:val="709"/>
    <w:uiPriority w:val="99"/>
    <w:qFormat/>
    <w:pPr>
      <w:spacing w:after="0" w:line="240" w:lineRule="auto"/>
    </w:pPr>
    <w:tblPr/>
  </w:style>
  <w:style w:type="table" w:styleId="852">
    <w:name w:val="Grid Table 7 Colorful - Accent 3"/>
    <w:basedOn w:val="711"/>
    <w:next w:val="852"/>
    <w:link w:val="709"/>
    <w:uiPriority w:val="99"/>
    <w:qFormat/>
    <w:pPr>
      <w:spacing w:after="0" w:line="240" w:lineRule="auto"/>
    </w:pPr>
    <w:tblPr/>
  </w:style>
  <w:style w:type="table" w:styleId="853">
    <w:name w:val="Grid Table 7 Colorful - Accent 4"/>
    <w:basedOn w:val="711"/>
    <w:next w:val="853"/>
    <w:link w:val="709"/>
    <w:uiPriority w:val="99"/>
    <w:qFormat/>
    <w:pPr>
      <w:spacing w:after="0" w:line="240" w:lineRule="auto"/>
    </w:pPr>
    <w:tblPr/>
  </w:style>
  <w:style w:type="table" w:styleId="854">
    <w:name w:val="Grid Table 7 Colorful - Accent 5"/>
    <w:basedOn w:val="711"/>
    <w:next w:val="854"/>
    <w:link w:val="709"/>
    <w:uiPriority w:val="99"/>
    <w:qFormat/>
    <w:pPr>
      <w:spacing w:after="0" w:line="240" w:lineRule="auto"/>
    </w:pPr>
    <w:tblPr/>
  </w:style>
  <w:style w:type="table" w:styleId="855">
    <w:name w:val="Grid Table 7 Colorful - Accent 6"/>
    <w:basedOn w:val="711"/>
    <w:next w:val="855"/>
    <w:link w:val="709"/>
    <w:uiPriority w:val="99"/>
    <w:qFormat/>
    <w:pPr>
      <w:spacing w:after="0" w:line="240" w:lineRule="auto"/>
    </w:pPr>
    <w:tblPr/>
  </w:style>
  <w:style w:type="table" w:styleId="856">
    <w:name w:val="List Table 1 Light"/>
    <w:basedOn w:val="711"/>
    <w:next w:val="856"/>
    <w:link w:val="709"/>
    <w:uiPriority w:val="99"/>
    <w:qFormat/>
    <w:pPr>
      <w:spacing w:after="0" w:line="240" w:lineRule="auto"/>
    </w:pPr>
    <w:tblPr/>
  </w:style>
  <w:style w:type="table" w:styleId="857">
    <w:name w:val="List Table 1 Light - Accent 1"/>
    <w:basedOn w:val="711"/>
    <w:next w:val="857"/>
    <w:link w:val="709"/>
    <w:uiPriority w:val="99"/>
    <w:qFormat/>
    <w:pPr>
      <w:spacing w:after="0" w:line="240" w:lineRule="auto"/>
    </w:pPr>
    <w:tblPr/>
  </w:style>
  <w:style w:type="table" w:styleId="858">
    <w:name w:val="List Table 1 Light - Accent 2"/>
    <w:basedOn w:val="711"/>
    <w:next w:val="858"/>
    <w:link w:val="709"/>
    <w:uiPriority w:val="99"/>
    <w:qFormat/>
    <w:pPr>
      <w:spacing w:after="0" w:line="240" w:lineRule="auto"/>
    </w:pPr>
    <w:tblPr/>
  </w:style>
  <w:style w:type="table" w:styleId="859">
    <w:name w:val="List Table 1 Light - Accent 3"/>
    <w:basedOn w:val="711"/>
    <w:next w:val="859"/>
    <w:link w:val="709"/>
    <w:uiPriority w:val="99"/>
    <w:qFormat/>
    <w:pPr>
      <w:spacing w:after="0" w:line="240" w:lineRule="auto"/>
    </w:pPr>
    <w:tblPr/>
  </w:style>
  <w:style w:type="table" w:styleId="860">
    <w:name w:val="List Table 1 Light - Accent 4"/>
    <w:basedOn w:val="711"/>
    <w:next w:val="860"/>
    <w:link w:val="709"/>
    <w:uiPriority w:val="99"/>
    <w:qFormat/>
    <w:pPr>
      <w:spacing w:after="0" w:line="240" w:lineRule="auto"/>
    </w:pPr>
    <w:tblPr/>
  </w:style>
  <w:style w:type="table" w:styleId="861">
    <w:name w:val="List Table 1 Light - Accent 5"/>
    <w:basedOn w:val="711"/>
    <w:next w:val="861"/>
    <w:link w:val="709"/>
    <w:uiPriority w:val="99"/>
    <w:qFormat/>
    <w:pPr>
      <w:spacing w:after="0" w:line="240" w:lineRule="auto"/>
    </w:pPr>
    <w:tblPr/>
  </w:style>
  <w:style w:type="table" w:styleId="862">
    <w:name w:val="List Table 1 Light - Accent 6"/>
    <w:basedOn w:val="711"/>
    <w:next w:val="862"/>
    <w:link w:val="709"/>
    <w:uiPriority w:val="99"/>
    <w:qFormat/>
    <w:pPr>
      <w:spacing w:after="0" w:line="240" w:lineRule="auto"/>
    </w:pPr>
    <w:tblPr/>
  </w:style>
  <w:style w:type="table" w:styleId="863">
    <w:name w:val="List Table 2"/>
    <w:basedOn w:val="711"/>
    <w:next w:val="863"/>
    <w:link w:val="709"/>
    <w:uiPriority w:val="99"/>
    <w:qFormat/>
    <w:pPr>
      <w:spacing w:after="0" w:line="240" w:lineRule="auto"/>
    </w:pPr>
    <w:tblPr/>
  </w:style>
  <w:style w:type="table" w:styleId="864">
    <w:name w:val="List Table 2 - Accent 1"/>
    <w:basedOn w:val="711"/>
    <w:next w:val="864"/>
    <w:link w:val="709"/>
    <w:uiPriority w:val="99"/>
    <w:qFormat/>
    <w:pPr>
      <w:spacing w:after="0" w:line="240" w:lineRule="auto"/>
    </w:pPr>
    <w:tblPr/>
  </w:style>
  <w:style w:type="table" w:styleId="865">
    <w:name w:val="List Table 2 - Accent 2"/>
    <w:basedOn w:val="711"/>
    <w:next w:val="865"/>
    <w:link w:val="709"/>
    <w:uiPriority w:val="99"/>
    <w:qFormat/>
    <w:pPr>
      <w:spacing w:after="0" w:line="240" w:lineRule="auto"/>
    </w:pPr>
    <w:tblPr/>
  </w:style>
  <w:style w:type="table" w:styleId="866">
    <w:name w:val="List Table 2 - Accent 3"/>
    <w:basedOn w:val="711"/>
    <w:next w:val="866"/>
    <w:link w:val="709"/>
    <w:uiPriority w:val="99"/>
    <w:qFormat/>
    <w:pPr>
      <w:spacing w:after="0" w:line="240" w:lineRule="auto"/>
    </w:pPr>
    <w:tblPr/>
  </w:style>
  <w:style w:type="table" w:styleId="867">
    <w:name w:val="List Table 2 - Accent 4"/>
    <w:basedOn w:val="711"/>
    <w:next w:val="867"/>
    <w:link w:val="709"/>
    <w:uiPriority w:val="99"/>
    <w:qFormat/>
    <w:pPr>
      <w:spacing w:after="0" w:line="240" w:lineRule="auto"/>
    </w:pPr>
    <w:tblPr/>
  </w:style>
  <w:style w:type="table" w:styleId="868">
    <w:name w:val="List Table 2 - Accent 5"/>
    <w:basedOn w:val="711"/>
    <w:next w:val="868"/>
    <w:link w:val="709"/>
    <w:uiPriority w:val="99"/>
    <w:qFormat/>
    <w:pPr>
      <w:spacing w:after="0" w:line="240" w:lineRule="auto"/>
    </w:pPr>
    <w:tblPr/>
  </w:style>
  <w:style w:type="table" w:styleId="869">
    <w:name w:val="List Table 2 - Accent 6"/>
    <w:basedOn w:val="711"/>
    <w:next w:val="869"/>
    <w:link w:val="709"/>
    <w:uiPriority w:val="99"/>
    <w:qFormat/>
    <w:pPr>
      <w:spacing w:after="0" w:line="240" w:lineRule="auto"/>
    </w:pPr>
    <w:tblPr/>
  </w:style>
  <w:style w:type="table" w:styleId="870">
    <w:name w:val="List Table 3"/>
    <w:basedOn w:val="711"/>
    <w:next w:val="870"/>
    <w:link w:val="709"/>
    <w:uiPriority w:val="99"/>
    <w:qFormat/>
    <w:pPr>
      <w:spacing w:after="0" w:line="240" w:lineRule="auto"/>
    </w:pPr>
    <w:tblPr/>
  </w:style>
  <w:style w:type="table" w:styleId="871">
    <w:name w:val="List Table 3 - Accent 1"/>
    <w:basedOn w:val="711"/>
    <w:next w:val="871"/>
    <w:link w:val="709"/>
    <w:uiPriority w:val="99"/>
    <w:qFormat/>
    <w:pPr>
      <w:spacing w:after="0" w:line="240" w:lineRule="auto"/>
    </w:pPr>
    <w:tblPr/>
  </w:style>
  <w:style w:type="table" w:styleId="872">
    <w:name w:val="List Table 3 - Accent 2"/>
    <w:basedOn w:val="711"/>
    <w:next w:val="872"/>
    <w:link w:val="709"/>
    <w:uiPriority w:val="99"/>
    <w:qFormat/>
    <w:pPr>
      <w:spacing w:after="0" w:line="240" w:lineRule="auto"/>
    </w:pPr>
    <w:tblPr/>
  </w:style>
  <w:style w:type="table" w:styleId="873">
    <w:name w:val="List Table 3 - Accent 3"/>
    <w:basedOn w:val="711"/>
    <w:next w:val="873"/>
    <w:link w:val="709"/>
    <w:uiPriority w:val="99"/>
    <w:qFormat/>
    <w:pPr>
      <w:spacing w:after="0" w:line="240" w:lineRule="auto"/>
    </w:pPr>
    <w:tblPr/>
  </w:style>
  <w:style w:type="table" w:styleId="874">
    <w:name w:val="List Table 3 - Accent 4"/>
    <w:basedOn w:val="711"/>
    <w:next w:val="874"/>
    <w:link w:val="709"/>
    <w:uiPriority w:val="99"/>
    <w:qFormat/>
    <w:pPr>
      <w:spacing w:after="0" w:line="240" w:lineRule="auto"/>
    </w:pPr>
    <w:tblPr/>
  </w:style>
  <w:style w:type="table" w:styleId="875">
    <w:name w:val="List Table 3 - Accent 5"/>
    <w:basedOn w:val="711"/>
    <w:next w:val="875"/>
    <w:link w:val="709"/>
    <w:uiPriority w:val="99"/>
    <w:qFormat/>
    <w:pPr>
      <w:spacing w:after="0" w:line="240" w:lineRule="auto"/>
    </w:pPr>
    <w:tblPr/>
  </w:style>
  <w:style w:type="table" w:styleId="876">
    <w:name w:val="List Table 3 - Accent 6"/>
    <w:basedOn w:val="711"/>
    <w:next w:val="876"/>
    <w:link w:val="709"/>
    <w:uiPriority w:val="99"/>
    <w:qFormat/>
    <w:pPr>
      <w:spacing w:after="0" w:line="240" w:lineRule="auto"/>
    </w:pPr>
    <w:tblPr/>
  </w:style>
  <w:style w:type="table" w:styleId="877">
    <w:name w:val="List Table 4"/>
    <w:basedOn w:val="711"/>
    <w:next w:val="877"/>
    <w:link w:val="709"/>
    <w:uiPriority w:val="99"/>
    <w:qFormat/>
    <w:pPr>
      <w:spacing w:after="0" w:line="240" w:lineRule="auto"/>
    </w:pPr>
    <w:tblPr/>
  </w:style>
  <w:style w:type="table" w:styleId="878">
    <w:name w:val="List Table 4 - Accent 1"/>
    <w:basedOn w:val="711"/>
    <w:next w:val="878"/>
    <w:link w:val="709"/>
    <w:uiPriority w:val="99"/>
    <w:qFormat/>
    <w:pPr>
      <w:spacing w:after="0" w:line="240" w:lineRule="auto"/>
    </w:pPr>
    <w:tblPr/>
  </w:style>
  <w:style w:type="table" w:styleId="879">
    <w:name w:val="List Table 4 - Accent 2"/>
    <w:basedOn w:val="711"/>
    <w:next w:val="879"/>
    <w:link w:val="709"/>
    <w:uiPriority w:val="99"/>
    <w:qFormat/>
    <w:pPr>
      <w:spacing w:after="0" w:line="240" w:lineRule="auto"/>
    </w:pPr>
    <w:tblPr/>
  </w:style>
  <w:style w:type="table" w:styleId="880">
    <w:name w:val="List Table 4 - Accent 3"/>
    <w:basedOn w:val="711"/>
    <w:next w:val="880"/>
    <w:link w:val="709"/>
    <w:uiPriority w:val="99"/>
    <w:qFormat/>
    <w:pPr>
      <w:spacing w:after="0" w:line="240" w:lineRule="auto"/>
    </w:pPr>
    <w:tblPr/>
  </w:style>
  <w:style w:type="table" w:styleId="881">
    <w:name w:val="List Table 4 - Accent 4"/>
    <w:basedOn w:val="711"/>
    <w:next w:val="881"/>
    <w:link w:val="709"/>
    <w:uiPriority w:val="99"/>
    <w:qFormat/>
    <w:pPr>
      <w:spacing w:after="0" w:line="240" w:lineRule="auto"/>
    </w:pPr>
    <w:tblPr/>
  </w:style>
  <w:style w:type="table" w:styleId="882">
    <w:name w:val="List Table 4 - Accent 5"/>
    <w:basedOn w:val="711"/>
    <w:next w:val="882"/>
    <w:link w:val="709"/>
    <w:uiPriority w:val="99"/>
    <w:qFormat/>
    <w:pPr>
      <w:spacing w:after="0" w:line="240" w:lineRule="auto"/>
    </w:pPr>
    <w:tblPr/>
  </w:style>
  <w:style w:type="table" w:styleId="883">
    <w:name w:val="List Table 4 - Accent 6"/>
    <w:basedOn w:val="711"/>
    <w:next w:val="883"/>
    <w:link w:val="709"/>
    <w:uiPriority w:val="99"/>
    <w:qFormat/>
    <w:pPr>
      <w:spacing w:after="0" w:line="240" w:lineRule="auto"/>
    </w:pPr>
    <w:tblPr/>
  </w:style>
  <w:style w:type="table" w:styleId="884">
    <w:name w:val="List Table 5 Dark"/>
    <w:basedOn w:val="711"/>
    <w:next w:val="884"/>
    <w:link w:val="709"/>
    <w:uiPriority w:val="99"/>
    <w:qFormat/>
    <w:pPr>
      <w:spacing w:after="0" w:line="240" w:lineRule="auto"/>
    </w:pPr>
    <w:tblPr/>
  </w:style>
  <w:style w:type="table" w:styleId="885">
    <w:name w:val="List Table 5 Dark - Accent 1"/>
    <w:basedOn w:val="711"/>
    <w:next w:val="885"/>
    <w:link w:val="709"/>
    <w:uiPriority w:val="99"/>
    <w:qFormat/>
    <w:pPr>
      <w:spacing w:after="0" w:line="240" w:lineRule="auto"/>
    </w:pPr>
    <w:tblPr/>
  </w:style>
  <w:style w:type="table" w:styleId="886">
    <w:name w:val="List Table 5 Dark - Accent 2"/>
    <w:basedOn w:val="711"/>
    <w:next w:val="886"/>
    <w:link w:val="709"/>
    <w:uiPriority w:val="99"/>
    <w:qFormat/>
    <w:pPr>
      <w:spacing w:after="0" w:line="240" w:lineRule="auto"/>
    </w:pPr>
    <w:tblPr/>
  </w:style>
  <w:style w:type="table" w:styleId="887">
    <w:name w:val="List Table 5 Dark - Accent 3"/>
    <w:basedOn w:val="711"/>
    <w:next w:val="887"/>
    <w:link w:val="709"/>
    <w:uiPriority w:val="99"/>
    <w:qFormat/>
    <w:pPr>
      <w:spacing w:after="0" w:line="240" w:lineRule="auto"/>
    </w:pPr>
    <w:tblPr/>
  </w:style>
  <w:style w:type="table" w:styleId="888">
    <w:name w:val="List Table 5 Dark - Accent 4"/>
    <w:basedOn w:val="711"/>
    <w:next w:val="888"/>
    <w:link w:val="709"/>
    <w:uiPriority w:val="99"/>
    <w:qFormat/>
    <w:pPr>
      <w:spacing w:after="0" w:line="240" w:lineRule="auto"/>
    </w:pPr>
    <w:tblPr/>
  </w:style>
  <w:style w:type="table" w:styleId="889">
    <w:name w:val="List Table 5 Dark - Accent 5"/>
    <w:basedOn w:val="711"/>
    <w:next w:val="889"/>
    <w:link w:val="709"/>
    <w:uiPriority w:val="99"/>
    <w:qFormat/>
    <w:pPr>
      <w:spacing w:after="0" w:line="240" w:lineRule="auto"/>
    </w:pPr>
    <w:tblPr/>
  </w:style>
  <w:style w:type="table" w:styleId="890">
    <w:name w:val="List Table 5 Dark - Accent 6"/>
    <w:basedOn w:val="711"/>
    <w:next w:val="890"/>
    <w:link w:val="709"/>
    <w:uiPriority w:val="99"/>
    <w:qFormat/>
    <w:pPr>
      <w:spacing w:after="0" w:line="240" w:lineRule="auto"/>
    </w:pPr>
    <w:tblPr/>
  </w:style>
  <w:style w:type="table" w:styleId="891">
    <w:name w:val="List Table 6 Colorful"/>
    <w:basedOn w:val="711"/>
    <w:next w:val="891"/>
    <w:link w:val="709"/>
    <w:uiPriority w:val="99"/>
    <w:qFormat/>
    <w:pPr>
      <w:spacing w:after="0" w:line="240" w:lineRule="auto"/>
    </w:pPr>
    <w:tblPr/>
  </w:style>
  <w:style w:type="table" w:styleId="892">
    <w:name w:val="List Table 6 Colorful - Accent 1"/>
    <w:basedOn w:val="711"/>
    <w:next w:val="892"/>
    <w:link w:val="709"/>
    <w:uiPriority w:val="99"/>
    <w:qFormat/>
    <w:pPr>
      <w:spacing w:after="0" w:line="240" w:lineRule="auto"/>
    </w:pPr>
    <w:tblPr/>
  </w:style>
  <w:style w:type="table" w:styleId="893">
    <w:name w:val="List Table 6 Colorful - Accent 2"/>
    <w:basedOn w:val="711"/>
    <w:next w:val="893"/>
    <w:link w:val="709"/>
    <w:uiPriority w:val="99"/>
    <w:qFormat/>
    <w:pPr>
      <w:spacing w:after="0" w:line="240" w:lineRule="auto"/>
    </w:pPr>
    <w:tblPr/>
  </w:style>
  <w:style w:type="table" w:styleId="894">
    <w:name w:val="List Table 6 Colorful - Accent 3"/>
    <w:basedOn w:val="711"/>
    <w:next w:val="894"/>
    <w:link w:val="709"/>
    <w:uiPriority w:val="99"/>
    <w:qFormat/>
    <w:pPr>
      <w:spacing w:after="0" w:line="240" w:lineRule="auto"/>
    </w:pPr>
    <w:tblPr/>
  </w:style>
  <w:style w:type="table" w:styleId="895">
    <w:name w:val="List Table 6 Colorful - Accent 4"/>
    <w:basedOn w:val="711"/>
    <w:next w:val="895"/>
    <w:link w:val="709"/>
    <w:uiPriority w:val="99"/>
    <w:qFormat/>
    <w:pPr>
      <w:spacing w:after="0" w:line="240" w:lineRule="auto"/>
    </w:pPr>
    <w:tblPr/>
  </w:style>
  <w:style w:type="table" w:styleId="896">
    <w:name w:val="List Table 6 Colorful - Accent 5"/>
    <w:basedOn w:val="711"/>
    <w:next w:val="896"/>
    <w:link w:val="709"/>
    <w:uiPriority w:val="99"/>
    <w:qFormat/>
    <w:pPr>
      <w:spacing w:after="0" w:line="240" w:lineRule="auto"/>
    </w:pPr>
    <w:tblPr/>
  </w:style>
  <w:style w:type="table" w:styleId="897">
    <w:name w:val="List Table 6 Colorful - Accent 6"/>
    <w:basedOn w:val="711"/>
    <w:next w:val="897"/>
    <w:link w:val="709"/>
    <w:uiPriority w:val="99"/>
    <w:qFormat/>
    <w:pPr>
      <w:spacing w:after="0" w:line="240" w:lineRule="auto"/>
    </w:pPr>
    <w:tblPr/>
  </w:style>
  <w:style w:type="table" w:styleId="898">
    <w:name w:val="List Table 7 Colorful"/>
    <w:basedOn w:val="711"/>
    <w:next w:val="898"/>
    <w:link w:val="709"/>
    <w:uiPriority w:val="99"/>
    <w:qFormat/>
    <w:pPr>
      <w:spacing w:after="0" w:line="240" w:lineRule="auto"/>
    </w:pPr>
    <w:tblPr/>
  </w:style>
  <w:style w:type="table" w:styleId="899">
    <w:name w:val="List Table 7 Colorful - Accent 1"/>
    <w:basedOn w:val="711"/>
    <w:next w:val="899"/>
    <w:link w:val="709"/>
    <w:uiPriority w:val="99"/>
    <w:qFormat/>
    <w:pPr>
      <w:spacing w:after="0" w:line="240" w:lineRule="auto"/>
    </w:pPr>
    <w:tblPr/>
  </w:style>
  <w:style w:type="table" w:styleId="900">
    <w:name w:val="List Table 7 Colorful - Accent 2"/>
    <w:basedOn w:val="711"/>
    <w:next w:val="900"/>
    <w:link w:val="709"/>
    <w:uiPriority w:val="99"/>
    <w:qFormat/>
    <w:pPr>
      <w:spacing w:after="0" w:line="240" w:lineRule="auto"/>
    </w:pPr>
    <w:tblPr/>
  </w:style>
  <w:style w:type="table" w:styleId="901">
    <w:name w:val="List Table 7 Colorful - Accent 3"/>
    <w:basedOn w:val="711"/>
    <w:next w:val="901"/>
    <w:link w:val="709"/>
    <w:uiPriority w:val="99"/>
    <w:qFormat/>
    <w:pPr>
      <w:spacing w:after="0" w:line="240" w:lineRule="auto"/>
    </w:pPr>
    <w:tblPr/>
  </w:style>
  <w:style w:type="table" w:styleId="902">
    <w:name w:val="List Table 7 Colorful - Accent 4"/>
    <w:basedOn w:val="711"/>
    <w:next w:val="902"/>
    <w:link w:val="709"/>
    <w:uiPriority w:val="99"/>
    <w:qFormat/>
    <w:pPr>
      <w:spacing w:after="0" w:line="240" w:lineRule="auto"/>
    </w:pPr>
    <w:tblPr/>
  </w:style>
  <w:style w:type="table" w:styleId="903">
    <w:name w:val="List Table 7 Colorful - Accent 5"/>
    <w:basedOn w:val="711"/>
    <w:next w:val="903"/>
    <w:link w:val="709"/>
    <w:uiPriority w:val="99"/>
    <w:qFormat/>
    <w:pPr>
      <w:spacing w:after="0" w:line="240" w:lineRule="auto"/>
    </w:pPr>
    <w:tblPr/>
  </w:style>
  <w:style w:type="table" w:styleId="904">
    <w:name w:val="List Table 7 Colorful - Accent 6"/>
    <w:basedOn w:val="711"/>
    <w:next w:val="904"/>
    <w:link w:val="709"/>
    <w:uiPriority w:val="99"/>
    <w:qFormat/>
    <w:pPr>
      <w:spacing w:after="0" w:line="240" w:lineRule="auto"/>
    </w:pPr>
    <w:tblPr/>
  </w:style>
  <w:style w:type="table" w:styleId="905">
    <w:name w:val="Lined - Accent"/>
    <w:basedOn w:val="711"/>
    <w:next w:val="905"/>
    <w:link w:val="709"/>
    <w:uiPriority w:val="99"/>
    <w:qFormat/>
    <w:pPr>
      <w:spacing w:after="0" w:line="240" w:lineRule="auto"/>
    </w:pPr>
    <w:rPr>
      <w:color w:val="404040"/>
    </w:rPr>
    <w:tblPr/>
  </w:style>
  <w:style w:type="table" w:styleId="906">
    <w:name w:val="Lined - Accent 1"/>
    <w:basedOn w:val="711"/>
    <w:next w:val="906"/>
    <w:link w:val="709"/>
    <w:uiPriority w:val="99"/>
    <w:qFormat/>
    <w:pPr>
      <w:spacing w:after="0" w:line="240" w:lineRule="auto"/>
    </w:pPr>
    <w:rPr>
      <w:color w:val="404040"/>
    </w:rPr>
    <w:tblPr/>
  </w:style>
  <w:style w:type="table" w:styleId="907">
    <w:name w:val="Lined - Accent 2"/>
    <w:basedOn w:val="711"/>
    <w:next w:val="907"/>
    <w:link w:val="709"/>
    <w:uiPriority w:val="99"/>
    <w:qFormat/>
    <w:pPr>
      <w:spacing w:after="0" w:line="240" w:lineRule="auto"/>
    </w:pPr>
    <w:rPr>
      <w:color w:val="404040"/>
    </w:rPr>
    <w:tblPr/>
  </w:style>
  <w:style w:type="table" w:styleId="908">
    <w:name w:val="Lined - Accent 3"/>
    <w:basedOn w:val="711"/>
    <w:next w:val="908"/>
    <w:link w:val="709"/>
    <w:uiPriority w:val="99"/>
    <w:qFormat/>
    <w:pPr>
      <w:spacing w:after="0" w:line="240" w:lineRule="auto"/>
    </w:pPr>
    <w:rPr>
      <w:color w:val="404040"/>
    </w:rPr>
    <w:tblPr/>
  </w:style>
  <w:style w:type="table" w:styleId="909">
    <w:name w:val="Lined - Accent 4"/>
    <w:basedOn w:val="711"/>
    <w:next w:val="909"/>
    <w:link w:val="709"/>
    <w:uiPriority w:val="99"/>
    <w:qFormat/>
    <w:pPr>
      <w:spacing w:after="0" w:line="240" w:lineRule="auto"/>
    </w:pPr>
    <w:rPr>
      <w:color w:val="404040"/>
    </w:rPr>
    <w:tblPr/>
  </w:style>
  <w:style w:type="table" w:styleId="910">
    <w:name w:val="Lined - Accent 5"/>
    <w:basedOn w:val="711"/>
    <w:next w:val="910"/>
    <w:link w:val="709"/>
    <w:uiPriority w:val="99"/>
    <w:qFormat/>
    <w:pPr>
      <w:spacing w:after="0" w:line="240" w:lineRule="auto"/>
    </w:pPr>
    <w:rPr>
      <w:color w:val="404040"/>
    </w:rPr>
    <w:tblPr/>
  </w:style>
  <w:style w:type="table" w:styleId="911">
    <w:name w:val="Lined - Accent 6"/>
    <w:basedOn w:val="711"/>
    <w:next w:val="911"/>
    <w:link w:val="709"/>
    <w:uiPriority w:val="99"/>
    <w:qFormat/>
    <w:pPr>
      <w:spacing w:after="0" w:line="240" w:lineRule="auto"/>
    </w:pPr>
    <w:rPr>
      <w:color w:val="404040"/>
    </w:rPr>
    <w:tblPr/>
  </w:style>
  <w:style w:type="table" w:styleId="912">
    <w:name w:val="Bordered &amp; Lined - Accent"/>
    <w:basedOn w:val="711"/>
    <w:next w:val="912"/>
    <w:link w:val="709"/>
    <w:uiPriority w:val="99"/>
    <w:qFormat/>
    <w:pPr>
      <w:spacing w:after="0" w:line="240" w:lineRule="auto"/>
    </w:pPr>
    <w:rPr>
      <w:color w:val="404040"/>
    </w:rPr>
    <w:tblPr/>
  </w:style>
  <w:style w:type="table" w:styleId="913">
    <w:name w:val="Bordered &amp; Lined - Accent 1"/>
    <w:basedOn w:val="711"/>
    <w:next w:val="913"/>
    <w:link w:val="709"/>
    <w:uiPriority w:val="99"/>
    <w:qFormat/>
    <w:pPr>
      <w:spacing w:after="0" w:line="240" w:lineRule="auto"/>
    </w:pPr>
    <w:rPr>
      <w:color w:val="404040"/>
    </w:rPr>
    <w:tblPr/>
  </w:style>
  <w:style w:type="table" w:styleId="914">
    <w:name w:val="Bordered &amp; Lined - Accent 2"/>
    <w:basedOn w:val="711"/>
    <w:next w:val="914"/>
    <w:link w:val="709"/>
    <w:uiPriority w:val="99"/>
    <w:qFormat/>
    <w:pPr>
      <w:spacing w:after="0" w:line="240" w:lineRule="auto"/>
    </w:pPr>
    <w:rPr>
      <w:color w:val="404040"/>
    </w:rPr>
    <w:tblPr/>
  </w:style>
  <w:style w:type="table" w:styleId="915">
    <w:name w:val="Bordered &amp; Lined - Accent 3"/>
    <w:basedOn w:val="711"/>
    <w:next w:val="915"/>
    <w:link w:val="709"/>
    <w:uiPriority w:val="99"/>
    <w:qFormat/>
    <w:pPr>
      <w:spacing w:after="0" w:line="240" w:lineRule="auto"/>
    </w:pPr>
    <w:rPr>
      <w:color w:val="404040"/>
    </w:rPr>
    <w:tblPr/>
  </w:style>
  <w:style w:type="table" w:styleId="916">
    <w:name w:val="Bordered &amp; Lined - Accent 4"/>
    <w:basedOn w:val="711"/>
    <w:next w:val="916"/>
    <w:link w:val="709"/>
    <w:uiPriority w:val="99"/>
    <w:qFormat/>
    <w:pPr>
      <w:spacing w:after="0" w:line="240" w:lineRule="auto"/>
    </w:pPr>
    <w:rPr>
      <w:color w:val="404040"/>
    </w:rPr>
    <w:tblPr/>
  </w:style>
  <w:style w:type="table" w:styleId="917">
    <w:name w:val="Bordered &amp; Lined - Accent 5"/>
    <w:basedOn w:val="711"/>
    <w:next w:val="917"/>
    <w:link w:val="709"/>
    <w:uiPriority w:val="99"/>
    <w:qFormat/>
    <w:pPr>
      <w:spacing w:after="0" w:line="240" w:lineRule="auto"/>
    </w:pPr>
    <w:rPr>
      <w:color w:val="404040"/>
    </w:rPr>
    <w:tblPr/>
  </w:style>
  <w:style w:type="table" w:styleId="918">
    <w:name w:val="Bordered &amp; Lined - Accent 6"/>
    <w:basedOn w:val="711"/>
    <w:next w:val="918"/>
    <w:link w:val="709"/>
    <w:uiPriority w:val="99"/>
    <w:qFormat/>
    <w:pPr>
      <w:spacing w:after="0" w:line="240" w:lineRule="auto"/>
    </w:pPr>
    <w:rPr>
      <w:color w:val="404040"/>
    </w:rPr>
    <w:tblPr/>
  </w:style>
  <w:style w:type="table" w:styleId="919">
    <w:name w:val="Bordered"/>
    <w:basedOn w:val="711"/>
    <w:next w:val="919"/>
    <w:link w:val="709"/>
    <w:uiPriority w:val="99"/>
    <w:qFormat/>
    <w:pPr>
      <w:spacing w:after="0" w:line="240" w:lineRule="auto"/>
    </w:pPr>
    <w:tblPr/>
  </w:style>
  <w:style w:type="table" w:styleId="920">
    <w:name w:val="Bordered - Accent 1"/>
    <w:basedOn w:val="711"/>
    <w:next w:val="920"/>
    <w:link w:val="709"/>
    <w:uiPriority w:val="99"/>
    <w:qFormat/>
    <w:pPr>
      <w:spacing w:after="0" w:line="240" w:lineRule="auto"/>
    </w:pPr>
    <w:tblPr/>
  </w:style>
  <w:style w:type="table" w:styleId="921">
    <w:name w:val="Bordered - Accent 2"/>
    <w:basedOn w:val="711"/>
    <w:next w:val="921"/>
    <w:link w:val="709"/>
    <w:uiPriority w:val="99"/>
    <w:qFormat/>
    <w:pPr>
      <w:spacing w:after="0" w:line="240" w:lineRule="auto"/>
    </w:pPr>
    <w:tblPr/>
  </w:style>
  <w:style w:type="table" w:styleId="922">
    <w:name w:val="Bordered - Accent 3"/>
    <w:basedOn w:val="711"/>
    <w:next w:val="922"/>
    <w:link w:val="709"/>
    <w:uiPriority w:val="99"/>
    <w:qFormat/>
    <w:pPr>
      <w:spacing w:after="0" w:line="240" w:lineRule="auto"/>
    </w:pPr>
    <w:tblPr/>
  </w:style>
  <w:style w:type="table" w:styleId="923">
    <w:name w:val="Bordered - Accent 4"/>
    <w:basedOn w:val="711"/>
    <w:next w:val="923"/>
    <w:link w:val="709"/>
    <w:uiPriority w:val="99"/>
    <w:qFormat/>
    <w:pPr>
      <w:spacing w:after="0" w:line="240" w:lineRule="auto"/>
    </w:pPr>
    <w:tblPr/>
  </w:style>
  <w:style w:type="table" w:styleId="924">
    <w:name w:val="Bordered - Accent 5"/>
    <w:basedOn w:val="711"/>
    <w:next w:val="924"/>
    <w:link w:val="709"/>
    <w:uiPriority w:val="99"/>
    <w:qFormat/>
    <w:pPr>
      <w:spacing w:after="0" w:line="240" w:lineRule="auto"/>
    </w:pPr>
    <w:tblPr/>
  </w:style>
  <w:style w:type="table" w:styleId="925">
    <w:name w:val="Bordered - Accent 6"/>
    <w:basedOn w:val="711"/>
    <w:next w:val="925"/>
    <w:link w:val="709"/>
    <w:uiPriority w:val="99"/>
    <w:qFormat/>
    <w:pPr>
      <w:spacing w:after="0" w:line="240" w:lineRule="auto"/>
    </w:pPr>
    <w:tblPr/>
  </w:style>
  <w:style w:type="character" w:styleId="926">
    <w:name w:val="Footnote Text Char"/>
    <w:next w:val="926"/>
    <w:link w:val="709"/>
    <w:uiPriority w:val="99"/>
    <w:qFormat/>
    <w:rPr>
      <w:sz w:val="18"/>
    </w:rPr>
  </w:style>
  <w:style w:type="paragraph" w:styleId="927">
    <w:name w:val="TOC Heading"/>
    <w:next w:val="927"/>
    <w:link w:val="709"/>
    <w:uiPriority w:val="39"/>
    <w:unhideWhenUsed/>
    <w:qFormat/>
  </w:style>
  <w:style w:type="paragraph" w:styleId="928">
    <w:name w:val="文档结构图1"/>
    <w:basedOn w:val="709"/>
    <w:next w:val="928"/>
    <w:link w:val="709"/>
    <w:uiPriority w:val="99"/>
    <w:qFormat/>
    <w:pPr>
      <w:shd w:val="clear" w:color="auto" w:fill="000080"/>
    </w:pPr>
  </w:style>
  <w:style w:type="paragraph" w:styleId="929">
    <w:name w:val="正文 A"/>
    <w:next w:val="722"/>
    <w:link w:val="709"/>
    <w:qFormat/>
    <w:pPr>
      <w:jc w:val="both"/>
      <w:widowControl w:val="off"/>
      <w:framePr w:wrap="around" w:vAnchor="margin" w:hAnchor="text" w:yAlign="top"/>
    </w:pPr>
    <w:rPr>
      <w:rFonts w:ascii="Calibri" w:hAnsi="Calibri" w:eastAsia="Times New Roman"/>
      <w:color w:val="000000"/>
      <w:sz w:val="21"/>
      <w:szCs w:val="21"/>
    </w:rPr>
  </w:style>
  <w:style w:type="character" w:styleId="930">
    <w:name w:val="+正文 Char3"/>
    <w:next w:val="930"/>
    <w:link w:val="931"/>
    <w:qFormat/>
    <w:rPr>
      <w:rFonts w:eastAsia="宋体"/>
      <w:sz w:val="24"/>
      <w:lang w:val="en-US" w:eastAsia="zh-CN" w:bidi="ar-SA"/>
    </w:rPr>
  </w:style>
  <w:style w:type="paragraph" w:styleId="931">
    <w:name w:val="+正文"/>
    <w:basedOn w:val="709"/>
    <w:next w:val="931"/>
    <w:link w:val="930"/>
    <w:qFormat/>
    <w:pPr>
      <w:ind w:firstLine="200"/>
      <w:spacing w:line="360" w:lineRule="auto"/>
    </w:pPr>
    <w:rPr>
      <w:sz w:val="24"/>
      <w:szCs w:val="20"/>
    </w:rPr>
  </w:style>
  <w:style w:type="character" w:styleId="932">
    <w:name w:val="Char Char8"/>
    <w:next w:val="932"/>
    <w:link w:val="709"/>
    <w:qFormat/>
    <w:rPr>
      <w:sz w:val="18"/>
    </w:rPr>
  </w:style>
  <w:style w:type="character" w:styleId="933">
    <w:name w:val="文字正文主体 Char Char"/>
    <w:next w:val="933"/>
    <w:link w:val="934"/>
    <w:qFormat/>
    <w:rPr>
      <w:rFonts w:ascii="仿宋" w:hAnsi="仿宋" w:eastAsia="仿宋"/>
      <w:color w:val="3a3a3a"/>
      <w:sz w:val="28"/>
      <w:lang w:val="en-US" w:eastAsia="zh-CN" w:bidi="ar-SA"/>
    </w:rPr>
  </w:style>
  <w:style w:type="paragraph" w:styleId="934">
    <w:name w:val="文字正文主体"/>
    <w:basedOn w:val="709"/>
    <w:next w:val="934"/>
    <w:link w:val="933"/>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35">
    <w:name w:val="Char Char5"/>
    <w:next w:val="935"/>
    <w:link w:val="709"/>
    <w:qFormat/>
    <w:rPr>
      <w:sz w:val="24"/>
      <w:lang w:val="en-US" w:eastAsia="zh-CN"/>
    </w:rPr>
  </w:style>
  <w:style w:type="character" w:styleId="936">
    <w:name w:val="Char Char11"/>
    <w:next w:val="936"/>
    <w:link w:val="709"/>
    <w:qFormat/>
    <w:rPr>
      <w:sz w:val="21"/>
    </w:rPr>
  </w:style>
  <w:style w:type="character" w:styleId="937">
    <w:name w:val="c lh15"/>
    <w:basedOn w:val="710"/>
    <w:next w:val="937"/>
    <w:link w:val="709"/>
    <w:qFormat/>
  </w:style>
  <w:style w:type="character" w:styleId="938">
    <w:name w:val="Plain Text Char Char"/>
    <w:next w:val="938"/>
    <w:link w:val="939"/>
    <w:qFormat/>
    <w:rPr>
      <w:rFonts w:ascii="宋体" w:hAnsi="Courier New" w:eastAsia="楷体_GB2312"/>
      <w:sz w:val="28"/>
    </w:rPr>
  </w:style>
  <w:style w:type="paragraph" w:styleId="939">
    <w:name w:val="纯文本1"/>
    <w:basedOn w:val="709"/>
    <w:next w:val="939"/>
    <w:link w:val="938"/>
    <w:qFormat/>
    <w:rPr>
      <w:rFonts w:ascii="宋体" w:hAnsi="Courier New" w:eastAsia="楷体_GB2312"/>
      <w:sz w:val="28"/>
      <w:szCs w:val="20"/>
    </w:rPr>
  </w:style>
  <w:style w:type="paragraph" w:styleId="940">
    <w:name w:val="Char Char Char Char Char Char Char Char Char1 Char Char Char Char"/>
    <w:basedOn w:val="715"/>
    <w:next w:val="940"/>
    <w:link w:val="709"/>
    <w:qFormat/>
    <w:pPr>
      <w:spacing w:line="360" w:lineRule="auto"/>
    </w:pPr>
    <w:rPr>
      <w:rFonts w:eastAsia="楷体_GB2312"/>
      <w:sz w:val="26"/>
      <w:szCs w:val="20"/>
    </w:rPr>
  </w:style>
  <w:style w:type="paragraph" w:styleId="941">
    <w:name w:val="Char Char Char Char Char Char Char Char Char Char"/>
    <w:basedOn w:val="709"/>
    <w:next w:val="941"/>
    <w:link w:val="709"/>
    <w:qFormat/>
    <w:pPr>
      <w:numPr>
        <w:ilvl w:val="0"/>
        <w:numId w:val="2"/>
      </w:numPr>
      <w:tabs>
        <w:tab w:val="left" w:pos="420" w:leader="none"/>
      </w:tabs>
    </w:pPr>
    <w:rPr>
      <w:sz w:val="24"/>
    </w:rPr>
  </w:style>
  <w:style w:type="paragraph" w:styleId="942">
    <w:name w:val="Char Char Char Char Char Char Char Char Char1 Char"/>
    <w:basedOn w:val="715"/>
    <w:next w:val="942"/>
    <w:link w:val="709"/>
    <w:qFormat/>
    <w:pPr>
      <w:spacing w:line="360" w:lineRule="auto"/>
    </w:pPr>
    <w:rPr>
      <w:rFonts w:ascii="Tahoma" w:hAnsi="Tahoma"/>
      <w:sz w:val="24"/>
    </w:rPr>
  </w:style>
  <w:style w:type="paragraph" w:styleId="943">
    <w:name w:val="Char Char Char"/>
    <w:basedOn w:val="715"/>
    <w:next w:val="943"/>
    <w:link w:val="709"/>
    <w:qFormat/>
    <w:pPr>
      <w:spacing w:line="360" w:lineRule="auto"/>
    </w:pPr>
    <w:rPr>
      <w:rFonts w:ascii="Tahoma" w:hAnsi="Tahoma"/>
      <w:sz w:val="24"/>
    </w:rPr>
  </w:style>
  <w:style w:type="paragraph" w:styleId="944">
    <w:name w:val="Char Char Char Char"/>
    <w:basedOn w:val="715"/>
    <w:next w:val="944"/>
    <w:link w:val="709"/>
    <w:qFormat/>
    <w:pPr>
      <w:spacing w:line="360" w:lineRule="auto"/>
    </w:pPr>
    <w:rPr>
      <w:sz w:val="24"/>
      <w:szCs w:val="20"/>
    </w:rPr>
  </w:style>
  <w:style w:type="paragraph" w:styleId="945">
    <w:name w:val="Char1 Char Char Char"/>
    <w:basedOn w:val="709"/>
    <w:next w:val="945"/>
    <w:link w:val="709"/>
    <w:qFormat/>
    <w:rPr>
      <w:rFonts w:ascii="Tahoma" w:hAnsi="Tahoma"/>
      <w:sz w:val="24"/>
      <w:szCs w:val="20"/>
    </w:rPr>
  </w:style>
  <w:style w:type="paragraph" w:styleId="946">
    <w:name w:val="Char"/>
    <w:basedOn w:val="709"/>
    <w:next w:val="946"/>
    <w:link w:val="709"/>
    <w:qFormat/>
    <w:pPr>
      <w:ind w:left="420" w:hanging="420"/>
      <w:tabs>
        <w:tab w:val="left" w:pos="420" w:leader="none"/>
      </w:tabs>
    </w:pPr>
    <w:rPr>
      <w:sz w:val="24"/>
    </w:rPr>
  </w:style>
  <w:style w:type="paragraph" w:styleId="947">
    <w:name w:val="正文2"/>
    <w:basedOn w:val="709"/>
    <w:next w:val="947"/>
    <w:link w:val="709"/>
    <w:qFormat/>
    <w:pPr>
      <w:ind w:firstLine="200"/>
      <w:jc w:val="left"/>
      <w:spacing w:after="160" w:line="360" w:lineRule="auto"/>
      <w:widowControl/>
    </w:pPr>
    <w:rPr>
      <w:rFonts w:ascii="Verdana" w:hAnsi="Verdana" w:eastAsia="黑体"/>
      <w:szCs w:val="20"/>
      <w:lang w:eastAsia="en-US"/>
    </w:rPr>
  </w:style>
  <w:style w:type="paragraph" w:styleId="948">
    <w:name w:val="Char Char Char1 Char Char Char Char"/>
    <w:basedOn w:val="709"/>
    <w:next w:val="948"/>
    <w:link w:val="709"/>
    <w:qFormat/>
    <w:pPr>
      <w:jc w:val="left"/>
      <w:spacing w:after="160" w:line="240" w:lineRule="exact"/>
      <w:widowControl/>
    </w:pPr>
    <w:rPr>
      <w:sz w:val="24"/>
    </w:rPr>
  </w:style>
  <w:style w:type="paragraph" w:styleId="949">
    <w:name w:val="No Spacing"/>
    <w:next w:val="949"/>
    <w:link w:val="709"/>
    <w:uiPriority w:val="1"/>
    <w:qFormat/>
    <w:pPr>
      <w:jc w:val="both"/>
      <w:widowControl w:val="off"/>
    </w:pPr>
    <w:rPr>
      <w:sz w:val="21"/>
      <w:szCs w:val="24"/>
    </w:rPr>
  </w:style>
  <w:style w:type="paragraph" w:styleId="950">
    <w:name w:val="纯文本11"/>
    <w:basedOn w:val="709"/>
    <w:next w:val="950"/>
    <w:link w:val="709"/>
    <w:qFormat/>
    <w:rPr>
      <w:rFonts w:ascii="宋体" w:hAnsi="Courier New" w:eastAsia="楷体_GB2312"/>
      <w:sz w:val="28"/>
      <w:szCs w:val="20"/>
    </w:rPr>
  </w:style>
  <w:style w:type="character" w:styleId="951">
    <w:name w:val="纯文本 Char1"/>
    <w:next w:val="951"/>
    <w:link w:val="709"/>
    <w:qFormat/>
    <w:rPr>
      <w:rFonts w:ascii="宋体" w:hAnsi="Courier New" w:eastAsia="楷体_GB2312"/>
      <w:sz w:val="24"/>
      <w:lang w:val="en-US" w:eastAsia="zh-CN" w:bidi="ar-SA"/>
    </w:rPr>
  </w:style>
  <w:style w:type="paragraph" w:styleId="952">
    <w:name w:val="纯文本2"/>
    <w:basedOn w:val="709"/>
    <w:next w:val="952"/>
    <w:link w:val="709"/>
    <w:qFormat/>
    <w:rPr>
      <w:rFonts w:ascii="宋体" w:hAnsi="Courier New" w:eastAsia="楷体_GB2312"/>
      <w:sz w:val="26"/>
      <w:szCs w:val="20"/>
    </w:rPr>
  </w:style>
  <w:style w:type="character" w:styleId="953">
    <w:name w:val="Plain Text Char"/>
    <w:next w:val="953"/>
    <w:link w:val="709"/>
    <w:qFormat/>
    <w:rPr>
      <w:rFonts w:ascii="宋体" w:hAnsi="Courier New" w:eastAsia="楷体_GB2312"/>
      <w:sz w:val="26"/>
      <w:lang w:val="en-US" w:eastAsia="zh-CN" w:bidi="ar-SA"/>
    </w:rPr>
  </w:style>
  <w:style w:type="paragraph" w:styleId="954">
    <w:name w:val="修订1"/>
    <w:next w:val="954"/>
    <w:link w:val="709"/>
    <w:uiPriority w:val="99"/>
    <w:unhideWhenUsed/>
    <w:qFormat/>
    <w:rPr>
      <w:sz w:val="21"/>
      <w:szCs w:val="24"/>
    </w:rPr>
  </w:style>
  <w:style w:type="character" w:styleId="955">
    <w:name w:val="apple-converted-space"/>
    <w:basedOn w:val="710"/>
    <w:next w:val="955"/>
    <w:link w:val="709"/>
    <w:qFormat/>
  </w:style>
  <w:style w:type="paragraph" w:styleId="956">
    <w:name w:val="p1"/>
    <w:basedOn w:val="709"/>
    <w:next w:val="956"/>
    <w:link w:val="709"/>
    <w:qFormat/>
    <w:pPr>
      <w:jc w:val="left"/>
      <w:spacing w:before="100" w:beforeAutospacing="1" w:after="100" w:afterAutospacing="1"/>
      <w:widowControl/>
    </w:pPr>
    <w:rPr>
      <w:rFonts w:ascii="宋体" w:hAnsi="宋体" w:cs="宋体"/>
      <w:sz w:val="24"/>
    </w:rPr>
  </w:style>
  <w:style w:type="paragraph" w:styleId="957">
    <w:name w:val="p3"/>
    <w:basedOn w:val="709"/>
    <w:next w:val="957"/>
    <w:link w:val="709"/>
    <w:qFormat/>
    <w:pPr>
      <w:jc w:val="left"/>
      <w:spacing w:before="100" w:beforeAutospacing="1" w:after="100" w:afterAutospacing="1"/>
      <w:widowControl/>
    </w:pPr>
    <w:rPr>
      <w:rFonts w:ascii="宋体" w:hAnsi="宋体" w:cs="宋体"/>
      <w:sz w:val="24"/>
    </w:rPr>
  </w:style>
  <w:style w:type="character" w:styleId="958">
    <w:name w:val="s6"/>
    <w:basedOn w:val="710"/>
    <w:next w:val="958"/>
    <w:link w:val="709"/>
    <w:qFormat/>
  </w:style>
  <w:style w:type="character" w:styleId="959">
    <w:name w:val="s1"/>
    <w:basedOn w:val="710"/>
    <w:next w:val="959"/>
    <w:link w:val="709"/>
    <w:qFormat/>
  </w:style>
  <w:style w:type="paragraph" w:styleId="960">
    <w:name w:val="列出段落1"/>
    <w:basedOn w:val="709"/>
    <w:next w:val="960"/>
    <w:link w:val="709"/>
    <w:uiPriority w:val="34"/>
    <w:qFormat/>
    <w:pPr>
      <w:ind w:firstLine="420"/>
    </w:pPr>
    <w:rPr>
      <w:lang w:val="zh-CN"/>
    </w:rPr>
  </w:style>
  <w:style w:type="character" w:styleId="961">
    <w:name w:val="批注文字 Char3"/>
    <w:next w:val="961"/>
    <w:link w:val="709"/>
    <w:qFormat/>
    <w:rPr>
      <w:rFonts w:eastAsia="宋体"/>
      <w:sz w:val="21"/>
      <w:szCs w:val="24"/>
      <w:lang w:val="en-US" w:eastAsia="zh-CN" w:bidi="ar-SA"/>
    </w:rPr>
  </w:style>
  <w:style w:type="paragraph" w:styleId="962">
    <w:name w:val="List Paragraph"/>
    <w:basedOn w:val="709"/>
    <w:next w:val="962"/>
    <w:link w:val="709"/>
    <w:uiPriority w:val="99"/>
    <w:qFormat/>
    <w:pPr>
      <w:ind w:firstLine="420"/>
    </w:pPr>
  </w:style>
  <w:style w:type="paragraph" w:styleId="963">
    <w:name w:val="BodyText1"/>
    <w:basedOn w:val="709"/>
    <w:next w:val="963"/>
    <w:link w:val="709"/>
    <w:uiPriority w:val="99"/>
    <w:qFormat/>
    <w:pPr>
      <w:spacing w:after="120"/>
    </w:pPr>
  </w:style>
  <w:style w:type="character" w:styleId="964">
    <w:name w:val="NormalCharacter1"/>
    <w:next w:val="964"/>
    <w:link w:val="709"/>
    <w:semiHidden/>
    <w:qFormat/>
  </w:style>
  <w:style w:type="paragraph" w:styleId="965">
    <w:name w:val="纯文本3"/>
    <w:basedOn w:val="709"/>
    <w:next w:val="965"/>
    <w:link w:val="709"/>
    <w:qFormat/>
    <w:rPr>
      <w:rFonts w:ascii="宋体" w:hAnsi="Courier New" w:eastAsia="楷体_GB2312"/>
      <w:sz w:val="28"/>
      <w:szCs w:val="20"/>
    </w:rPr>
  </w:style>
  <w:style w:type="paragraph" w:styleId="966">
    <w:name w:val="修订2"/>
    <w:next w:val="966"/>
    <w:link w:val="709"/>
    <w:uiPriority w:val="99"/>
    <w:semiHidden/>
    <w:qFormat/>
    <w:rPr>
      <w:sz w:val="21"/>
      <w:szCs w:val="24"/>
    </w:rPr>
  </w:style>
  <w:style w:type="paragraph" w:styleId="967">
    <w:name w:val="修订3"/>
    <w:next w:val="967"/>
    <w:link w:val="709"/>
    <w:uiPriority w:val="99"/>
    <w:semiHidden/>
    <w:qFormat/>
    <w:rPr>
      <w:sz w:val="21"/>
      <w:szCs w:val="24"/>
    </w:rPr>
  </w:style>
  <w:style w:type="paragraph" w:styleId="968">
    <w:name w:val="修订4"/>
    <w:next w:val="968"/>
    <w:link w:val="709"/>
    <w:uiPriority w:val="99"/>
    <w:semiHidden/>
    <w:qFormat/>
    <w:rPr>
      <w:sz w:val="21"/>
      <w:szCs w:val="24"/>
    </w:rPr>
  </w:style>
  <w:style w:type="paragraph" w:styleId="969">
    <w:name w:val="列出段落2"/>
    <w:basedOn w:val="709"/>
    <w:next w:val="969"/>
    <w:link w:val="709"/>
    <w:uiPriority w:val="34"/>
    <w:qFormat/>
    <w:pPr>
      <w:ind w:firstLine="420"/>
    </w:pPr>
  </w:style>
  <w:style w:type="paragraph" w:styleId="970">
    <w:name w:val="_正文段落"/>
    <w:basedOn w:val="709"/>
    <w:next w:val="970"/>
    <w:link w:val="709"/>
    <w:qFormat/>
    <w:pPr>
      <w:ind w:firstLine="200"/>
      <w:spacing w:line="360" w:lineRule="auto"/>
    </w:pPr>
    <w:rPr>
      <w:sz w:val="24"/>
    </w:rPr>
  </w:style>
  <w:style w:type="paragraph" w:styleId="971">
    <w:name w:val="_Style 30"/>
    <w:basedOn w:val="709"/>
    <w:next w:val="731"/>
    <w:link w:val="709"/>
    <w:qFormat/>
    <w:rPr>
      <w:rFonts w:ascii="宋体" w:hAnsi="Courier New"/>
    </w:rPr>
  </w:style>
  <w:style w:type="paragraph" w:styleId="972">
    <w:name w:val="纯文本6"/>
    <w:basedOn w:val="709"/>
    <w:next w:val="972"/>
    <w:link w:val="709"/>
    <w:qFormat/>
    <w:rPr>
      <w:rFonts w:ascii="宋体" w:hAnsi="Courier New" w:eastAsia="楷体_GB2312"/>
      <w:sz w:val="26"/>
    </w:rPr>
  </w:style>
  <w:style w:type="paragraph" w:styleId="973">
    <w:name w:val="Default"/>
    <w:next w:val="973"/>
    <w:link w:val="709"/>
    <w:qFormat/>
    <w:pPr>
      <w:widowControl w:val="off"/>
    </w:pPr>
    <w:rPr>
      <w:rFonts w:cs="Calibri"/>
      <w:color w:val="000000"/>
      <w:sz w:val="24"/>
      <w:szCs w:val="24"/>
    </w:rPr>
  </w:style>
  <w:style w:type="paragraph" w:styleId="974">
    <w:name w:val="正文_0"/>
    <w:next w:val="974"/>
    <w:link w:val="709"/>
    <w:qFormat/>
    <w:pPr>
      <w:jc w:val="both"/>
      <w:widowControl w:val="off"/>
    </w:pPr>
    <w:rPr>
      <w:rFonts w:ascii="Calibri" w:hAnsi="Calibri"/>
      <w:sz w:val="21"/>
      <w:szCs w:val="22"/>
    </w:rPr>
  </w:style>
  <w:style w:type="paragraph" w:styleId="975">
    <w:name w:val="正文文本缩进1"/>
    <w:basedOn w:val="709"/>
    <w:next w:val="975"/>
    <w:link w:val="709"/>
    <w:uiPriority w:val="99"/>
    <w:unhideWhenUsed/>
    <w:qFormat/>
    <w:pPr>
      <w:ind w:left="420"/>
      <w:spacing w:after="120"/>
    </w:pPr>
  </w:style>
  <w:style w:type="paragraph" w:styleId="976">
    <w:name w:val="正文缩进1"/>
    <w:basedOn w:val="709"/>
    <w:next w:val="976"/>
    <w:link w:val="709"/>
    <w:qFormat/>
    <w:pPr>
      <w:ind w:firstLine="420"/>
      <w:jc w:val="left"/>
    </w:pPr>
    <w:rPr>
      <w:rFonts w:eastAsia="楷体_GB2312"/>
      <w:sz w:val="24"/>
      <w:szCs w:val="20"/>
    </w:rPr>
  </w:style>
  <w:style w:type="paragraph" w:styleId="977">
    <w:name w:val="纯文本4"/>
    <w:basedOn w:val="709"/>
    <w:next w:val="977"/>
    <w:link w:val="709"/>
    <w:qFormat/>
    <w:rPr>
      <w:rFonts w:ascii="宋体" w:hAnsi="Courier New" w:eastAsia="楷体_GB2312"/>
      <w:sz w:val="26"/>
      <w:szCs w:val="20"/>
    </w:rPr>
  </w:style>
  <w:style w:type="paragraph" w:styleId="978">
    <w:name w:val="04 文字合同"/>
    <w:basedOn w:val="709"/>
    <w:next w:val="978"/>
    <w:link w:val="709"/>
    <w:qFormat/>
    <w:pPr>
      <w:ind w:firstLine="420"/>
      <w:spacing w:line="400" w:lineRule="exact"/>
    </w:pPr>
    <w:rPr>
      <w:rFonts w:ascii="新宋体" w:hAnsi="新宋体" w:eastAsia="新宋体" w:cs="Arial Unicode MS"/>
      <w:color w:val="000000"/>
      <w:szCs w:val="21"/>
    </w:rPr>
  </w:style>
  <w:style w:type="paragraph" w:styleId="979">
    <w:name w:val="样式 3"/>
    <w:basedOn w:val="709"/>
    <w:next w:val="979"/>
    <w:link w:val="709"/>
    <w:qFormat/>
    <w:pPr>
      <w:ind w:left="840" w:hanging="420"/>
    </w:pPr>
    <w:rPr>
      <w:szCs w:val="21"/>
    </w:rPr>
  </w:style>
  <w:style w:type="paragraph" w:styleId="980">
    <w:name w:val="样式1"/>
    <w:basedOn w:val="709"/>
    <w:next w:val="980"/>
    <w:link w:val="709"/>
    <w:qFormat/>
    <w:pPr>
      <w:spacing w:line="480" w:lineRule="auto"/>
    </w:pPr>
    <w:rPr>
      <w:rFonts w:ascii="EU-F1" w:eastAsia="黑体"/>
      <w:szCs w:val="21"/>
    </w:rPr>
  </w:style>
  <w:style w:type="paragraph" w:styleId="981">
    <w:name w:val="样式2"/>
    <w:basedOn w:val="709"/>
    <w:next w:val="981"/>
    <w:link w:val="709"/>
    <w:qFormat/>
    <w:pPr>
      <w:spacing w:line="312" w:lineRule="exact"/>
      <w:widowControl/>
    </w:pPr>
    <w:rPr>
      <w:rFonts w:ascii="EU-F1" w:eastAsia="黑体"/>
      <w:color w:val="000000"/>
      <w:szCs w:val="21"/>
    </w:rPr>
  </w:style>
  <w:style w:type="paragraph" w:styleId="982">
    <w:name w:val="三级条标题"/>
    <w:basedOn w:val="983"/>
    <w:next w:val="722"/>
    <w:link w:val="709"/>
    <w:qFormat/>
    <w:pPr>
      <w:outlineLvl w:val="4"/>
    </w:pPr>
  </w:style>
  <w:style w:type="paragraph" w:styleId="983">
    <w:name w:val="二级条标题"/>
    <w:basedOn w:val="709"/>
    <w:next w:val="722"/>
    <w:link w:val="709"/>
    <w:qFormat/>
    <w:pPr>
      <w:jc w:val="left"/>
      <w:spacing w:before="50" w:after="50"/>
      <w:widowControl/>
      <w:outlineLvl w:val="3"/>
    </w:pPr>
    <w:rPr>
      <w:rFonts w:ascii="黑体" w:eastAsia="黑体"/>
      <w:sz w:val="20"/>
      <w:szCs w:val="20"/>
    </w:rPr>
  </w:style>
  <w:style w:type="paragraph" w:styleId="984">
    <w:name w:val="图说"/>
    <w:basedOn w:val="709"/>
    <w:next w:val="984"/>
    <w:link w:val="709"/>
    <w:qFormat/>
    <w:pPr>
      <w:jc w:val="center"/>
      <w:spacing w:before="60" w:after="160" w:line="312" w:lineRule="exact"/>
    </w:pPr>
    <w:rPr>
      <w:rFonts w:ascii="EU-F1" w:eastAsia="黑体"/>
      <w:szCs w:val="21"/>
    </w:rPr>
  </w:style>
  <w:style w:type="paragraph" w:styleId="985">
    <w:name w:val="图片"/>
    <w:basedOn w:val="709"/>
    <w:next w:val="985"/>
    <w:link w:val="709"/>
    <w:qFormat/>
    <w:pPr>
      <w:jc w:val="center"/>
      <w:spacing w:before="160" w:after="60"/>
    </w:pPr>
    <w:rPr>
      <w:szCs w:val="21"/>
    </w:rPr>
  </w:style>
  <w:style w:type="paragraph" w:styleId="986">
    <w:name w:val="表头"/>
    <w:basedOn w:val="709"/>
    <w:next w:val="986"/>
    <w:link w:val="709"/>
    <w:qFormat/>
    <w:pPr>
      <w:jc w:val="center"/>
      <w:spacing w:before="160" w:after="60" w:line="312" w:lineRule="exact"/>
    </w:pPr>
    <w:rPr>
      <w:rFonts w:ascii="EU-F1" w:eastAsia="黑体"/>
      <w:szCs w:val="21"/>
    </w:rPr>
  </w:style>
  <w:style w:type="paragraph" w:styleId="987">
    <w:name w:val="批注框文本1"/>
    <w:basedOn w:val="709"/>
    <w:next w:val="987"/>
    <w:link w:val="709"/>
    <w:qFormat/>
    <w:rPr>
      <w:sz w:val="18"/>
      <w:szCs w:val="20"/>
    </w:rPr>
  </w:style>
  <w:style w:type="paragraph" w:styleId="988">
    <w:name w:val="正文表标题"/>
    <w:next w:val="722"/>
    <w:link w:val="709"/>
    <w:qFormat/>
    <w:pPr>
      <w:jc w:val="center"/>
      <w:tabs>
        <w:tab w:val="left" w:pos="360" w:leader="none"/>
      </w:tabs>
    </w:pPr>
    <w:rPr>
      <w:rFonts w:ascii="黑体" w:eastAsia="黑体"/>
    </w:rPr>
  </w:style>
  <w:style w:type="paragraph" w:styleId="989">
    <w:name w:val="注×："/>
    <w:next w:val="989"/>
    <w:link w:val="709"/>
    <w:qFormat/>
    <w:pPr>
      <w:ind w:left="900" w:hanging="500"/>
      <w:jc w:val="both"/>
      <w:spacing w:line="360" w:lineRule="atLeast"/>
      <w:widowControl w:val="off"/>
      <w:tabs>
        <w:tab w:val="left" w:pos="630" w:leader="none"/>
      </w:tabs>
    </w:pPr>
    <w:rPr>
      <w:rFonts w:ascii="宋体"/>
      <w:sz w:val="18"/>
    </w:rPr>
  </w:style>
  <w:style w:type="paragraph" w:styleId="990">
    <w:name w:val="Table Paragraph"/>
    <w:basedOn w:val="709"/>
    <w:next w:val="990"/>
    <w:link w:val="709"/>
    <w:uiPriority w:val="1"/>
    <w:qFormat/>
  </w:style>
  <w:style w:type="table" w:styleId="991">
    <w:name w:val="Table Normal_0"/>
    <w:next w:val="991"/>
    <w:link w:val="709"/>
    <w:uiPriority w:val="2"/>
    <w:unhideWhenUsed/>
    <w:qFormat/>
    <w:tblPr/>
  </w:style>
  <w:style w:type="paragraph" w:styleId="992">
    <w:name w:val="NormalIndent1"/>
    <w:basedOn w:val="709"/>
    <w:next w:val="992"/>
    <w:link w:val="709"/>
    <w:uiPriority w:val="99"/>
    <w:qFormat/>
    <w:pPr>
      <w:ind w:firstLine="420"/>
      <w:jc w:val="left"/>
    </w:pPr>
    <w:rPr>
      <w:rFonts w:eastAsia="楷体_GB2312"/>
      <w:sz w:val="24"/>
      <w:szCs w:val="20"/>
    </w:rPr>
  </w:style>
  <w:style w:type="character" w:styleId="993" w:default="1">
    <w:name w:val="Default Paragraph Font"/>
    <w:uiPriority w:val="1"/>
    <w:semiHidden/>
    <w:unhideWhenUsed/>
  </w:style>
  <w:style w:type="numbering" w:styleId="994" w:default="1">
    <w:name w:val="No List"/>
    <w:uiPriority w:val="99"/>
    <w:semiHidden/>
    <w:unhideWhenUsed/>
  </w:style>
  <w:style w:type="table" w:styleId="9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赵晓燕</cp:lastModifiedBy>
  <cp:revision>4</cp:revision>
  <dcterms:created xsi:type="dcterms:W3CDTF">2024-01-02T10:17:00Z</dcterms:created>
  <dcterms:modified xsi:type="dcterms:W3CDTF">2025-12-17T05:27:03Z</dcterms:modified>
</cp:coreProperties>
</file>